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98" w:rsidRDefault="00F51298" w:rsidP="00F51298">
      <w:pPr>
        <w:pBdr>
          <w:bottom w:val="single" w:sz="6" w:space="1" w:color="auto"/>
        </w:pBdr>
      </w:pPr>
    </w:p>
    <w:p w:rsidR="00F51298" w:rsidRDefault="00F51298" w:rsidP="00F51298"/>
    <w:p w:rsidR="00F51298" w:rsidRPr="000800BF" w:rsidRDefault="00F51298" w:rsidP="00F51298">
      <w:pPr>
        <w:rPr>
          <w:b/>
          <w:sz w:val="56"/>
          <w:szCs w:val="56"/>
        </w:rPr>
      </w:pPr>
      <w:r w:rsidRPr="000800BF">
        <w:rPr>
          <w:b/>
          <w:sz w:val="56"/>
          <w:szCs w:val="56"/>
        </w:rPr>
        <w:t>Office of Utilities Regulation</w:t>
      </w:r>
    </w:p>
    <w:p w:rsidR="00F51298" w:rsidRDefault="00F51298" w:rsidP="00F51298">
      <w:pPr>
        <w:pBdr>
          <w:bottom w:val="single" w:sz="6" w:space="1" w:color="auto"/>
        </w:pBdr>
      </w:pPr>
    </w:p>
    <w:p w:rsidR="00F51298" w:rsidRDefault="00F51298" w:rsidP="00F51298"/>
    <w:p w:rsidR="00F51298" w:rsidRPr="000800BF" w:rsidRDefault="00F51298" w:rsidP="00F51298">
      <w:pPr>
        <w:rPr>
          <w:sz w:val="56"/>
          <w:szCs w:val="56"/>
        </w:rPr>
      </w:pPr>
      <w:r w:rsidRPr="000800BF">
        <w:rPr>
          <w:sz w:val="56"/>
          <w:szCs w:val="56"/>
        </w:rPr>
        <w:t xml:space="preserve">Telecommunications Market Information Report </w:t>
      </w:r>
    </w:p>
    <w:p w:rsidR="00F51298" w:rsidRPr="000800BF" w:rsidRDefault="009F477B" w:rsidP="00F51298">
      <w:pPr>
        <w:pBdr>
          <w:bottom w:val="single" w:sz="6" w:space="1" w:color="auto"/>
        </w:pBdr>
        <w:rPr>
          <w:sz w:val="56"/>
          <w:szCs w:val="56"/>
        </w:rPr>
      </w:pPr>
      <w:r>
        <w:rPr>
          <w:sz w:val="56"/>
          <w:szCs w:val="56"/>
        </w:rPr>
        <w:t>October - December</w:t>
      </w:r>
      <w:r w:rsidR="00577895">
        <w:rPr>
          <w:sz w:val="56"/>
          <w:szCs w:val="56"/>
        </w:rPr>
        <w:t xml:space="preserve"> 2018</w:t>
      </w:r>
    </w:p>
    <w:p w:rsidR="00F51298" w:rsidRDefault="00F51298" w:rsidP="00F51298">
      <w:pPr>
        <w:pBdr>
          <w:bottom w:val="single" w:sz="6" w:space="1" w:color="auto"/>
        </w:pBdr>
      </w:pPr>
    </w:p>
    <w:p w:rsidR="00F51298" w:rsidRDefault="00F51298" w:rsidP="00F51298"/>
    <w:p w:rsidR="00F51298" w:rsidRDefault="00F51298" w:rsidP="00F51298"/>
    <w:p w:rsidR="00F51298" w:rsidRDefault="00F51298" w:rsidP="00F51298">
      <w:r>
        <w:rPr>
          <w:rFonts w:ascii="Arial" w:hAnsi="Arial" w:cs="Arial"/>
          <w:b/>
          <w:noProof/>
          <w:lang w:val="en-GB" w:eastAsia="en-GB"/>
        </w:rPr>
        <w:drawing>
          <wp:inline distT="0" distB="0" distL="0" distR="0" wp14:anchorId="4AF73C6E" wp14:editId="09D613F1">
            <wp:extent cx="5905500" cy="971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971550"/>
                    </a:xfrm>
                    <a:prstGeom prst="rect">
                      <a:avLst/>
                    </a:prstGeom>
                    <a:noFill/>
                    <a:ln>
                      <a:noFill/>
                    </a:ln>
                  </pic:spPr>
                </pic:pic>
              </a:graphicData>
            </a:graphic>
          </wp:inline>
        </w:drawing>
      </w:r>
    </w:p>
    <w:p w:rsidR="007405F9" w:rsidRDefault="007405F9" w:rsidP="007405F9">
      <w:pPr>
        <w:pStyle w:val="Footer"/>
        <w:rPr>
          <w:sz w:val="20"/>
          <w:szCs w:val="20"/>
        </w:rPr>
      </w:pPr>
    </w:p>
    <w:p w:rsidR="007405F9" w:rsidRDefault="007405F9" w:rsidP="007405F9">
      <w:pPr>
        <w:pStyle w:val="Footer"/>
        <w:rPr>
          <w:sz w:val="20"/>
          <w:szCs w:val="20"/>
        </w:rPr>
      </w:pPr>
    </w:p>
    <w:p w:rsidR="007405F9" w:rsidRDefault="007405F9" w:rsidP="007405F9">
      <w:pPr>
        <w:pStyle w:val="Footer"/>
        <w:rPr>
          <w:sz w:val="20"/>
          <w:szCs w:val="20"/>
        </w:rPr>
      </w:pPr>
      <w:r>
        <w:rPr>
          <w:sz w:val="20"/>
          <w:szCs w:val="20"/>
        </w:rPr>
        <w:t>Telecommunications Market Information Report</w:t>
      </w:r>
      <w:r w:rsidR="00681DDA">
        <w:rPr>
          <w:sz w:val="20"/>
          <w:szCs w:val="20"/>
        </w:rPr>
        <w:t xml:space="preserve">: </w:t>
      </w:r>
      <w:r w:rsidR="00345BDB">
        <w:rPr>
          <w:sz w:val="20"/>
          <w:szCs w:val="20"/>
        </w:rPr>
        <w:t>October - December</w:t>
      </w:r>
      <w:r w:rsidR="00697B9E">
        <w:rPr>
          <w:sz w:val="20"/>
          <w:szCs w:val="20"/>
        </w:rPr>
        <w:t xml:space="preserve"> 2018</w:t>
      </w:r>
    </w:p>
    <w:p w:rsidR="007405F9" w:rsidRDefault="007405F9" w:rsidP="007523BD">
      <w:pPr>
        <w:pStyle w:val="Footer"/>
        <w:tabs>
          <w:tab w:val="clear" w:pos="4680"/>
          <w:tab w:val="clear" w:pos="9360"/>
          <w:tab w:val="left" w:pos="10200"/>
        </w:tabs>
        <w:rPr>
          <w:sz w:val="20"/>
          <w:szCs w:val="20"/>
        </w:rPr>
      </w:pPr>
      <w:r w:rsidRPr="00E81B3B">
        <w:rPr>
          <w:sz w:val="20"/>
          <w:szCs w:val="20"/>
        </w:rPr>
        <w:t>Document Number 201</w:t>
      </w:r>
      <w:r w:rsidR="00345BDB" w:rsidRPr="00E81B3B">
        <w:rPr>
          <w:sz w:val="20"/>
          <w:szCs w:val="20"/>
        </w:rPr>
        <w:t>9</w:t>
      </w:r>
      <w:r w:rsidRPr="00E81B3B">
        <w:rPr>
          <w:sz w:val="20"/>
          <w:szCs w:val="20"/>
        </w:rPr>
        <w:t>/TEL/</w:t>
      </w:r>
      <w:r w:rsidR="00E81B3B" w:rsidRPr="00E81B3B">
        <w:rPr>
          <w:sz w:val="20"/>
          <w:szCs w:val="20"/>
        </w:rPr>
        <w:t>001</w:t>
      </w:r>
      <w:r w:rsidR="00345BDB" w:rsidRPr="00E81B3B">
        <w:rPr>
          <w:sz w:val="20"/>
          <w:szCs w:val="20"/>
        </w:rPr>
        <w:t>/</w:t>
      </w:r>
      <w:r w:rsidR="00E81B3B" w:rsidRPr="00E81B3B">
        <w:rPr>
          <w:sz w:val="20"/>
          <w:szCs w:val="20"/>
        </w:rPr>
        <w:t>QSR.001</w:t>
      </w:r>
      <w:r w:rsidR="007523BD" w:rsidRPr="009122C7">
        <w:rPr>
          <w:sz w:val="20"/>
          <w:szCs w:val="20"/>
        </w:rPr>
        <w:tab/>
      </w:r>
    </w:p>
    <w:p w:rsidR="007405F9" w:rsidRDefault="007405F9" w:rsidP="007405F9">
      <w:pPr>
        <w:pStyle w:val="Footer"/>
        <w:rPr>
          <w:sz w:val="20"/>
          <w:szCs w:val="20"/>
        </w:rPr>
      </w:pPr>
      <w:r>
        <w:rPr>
          <w:sz w:val="20"/>
          <w:szCs w:val="20"/>
        </w:rPr>
        <w:t>Office of Utilities Regulation</w:t>
      </w:r>
    </w:p>
    <w:p w:rsidR="007405F9" w:rsidRDefault="00F11695" w:rsidP="007405F9">
      <w:pPr>
        <w:pStyle w:val="Footer"/>
        <w:rPr>
          <w:sz w:val="20"/>
          <w:szCs w:val="20"/>
        </w:rPr>
      </w:pPr>
      <w:r w:rsidRPr="00E81B3B">
        <w:rPr>
          <w:sz w:val="20"/>
          <w:szCs w:val="20"/>
        </w:rPr>
        <w:t>201</w:t>
      </w:r>
      <w:r w:rsidR="00345BDB" w:rsidRPr="00E81B3B">
        <w:rPr>
          <w:sz w:val="20"/>
          <w:szCs w:val="20"/>
        </w:rPr>
        <w:t>9</w:t>
      </w:r>
      <w:r w:rsidR="00681DDA" w:rsidRPr="00E81B3B">
        <w:rPr>
          <w:sz w:val="20"/>
          <w:szCs w:val="20"/>
        </w:rPr>
        <w:t xml:space="preserve"> </w:t>
      </w:r>
      <w:r w:rsidR="00345BDB" w:rsidRPr="00E81B3B">
        <w:rPr>
          <w:sz w:val="20"/>
          <w:szCs w:val="20"/>
        </w:rPr>
        <w:t>May</w:t>
      </w:r>
      <w:r w:rsidR="0062737D" w:rsidRPr="00E81B3B">
        <w:rPr>
          <w:sz w:val="20"/>
          <w:szCs w:val="20"/>
        </w:rPr>
        <w:t xml:space="preserve"> </w:t>
      </w:r>
      <w:r w:rsidR="00345BDB" w:rsidRPr="00E81B3B">
        <w:rPr>
          <w:sz w:val="20"/>
          <w:szCs w:val="20"/>
        </w:rPr>
        <w:t>06</w:t>
      </w:r>
    </w:p>
    <w:p w:rsidR="00F51298" w:rsidRPr="00B96E19" w:rsidRDefault="00B07C39">
      <w:pPr>
        <w:rPr>
          <w:b/>
          <w:sz w:val="28"/>
          <w:szCs w:val="28"/>
        </w:rPr>
      </w:pPr>
      <w:r w:rsidRPr="00B96E19">
        <w:rPr>
          <w:b/>
          <w:sz w:val="28"/>
          <w:szCs w:val="28"/>
        </w:rPr>
        <w:t xml:space="preserve">Telecommunications Market Information Report: </w:t>
      </w:r>
      <w:r w:rsidR="00345BDB">
        <w:rPr>
          <w:b/>
          <w:sz w:val="28"/>
          <w:szCs w:val="28"/>
        </w:rPr>
        <w:t>October - December</w:t>
      </w:r>
      <w:r w:rsidR="00697B9E">
        <w:rPr>
          <w:b/>
          <w:sz w:val="28"/>
          <w:szCs w:val="28"/>
        </w:rPr>
        <w:t xml:space="preserve"> 2018</w:t>
      </w:r>
    </w:p>
    <w:p w:rsidR="00B07C39" w:rsidRDefault="00B07C39"/>
    <w:p w:rsidR="00B07C39" w:rsidRDefault="00B07C39" w:rsidP="00B07C39">
      <w:pPr>
        <w:pStyle w:val="PlainText"/>
        <w:rPr>
          <w:noProof/>
        </w:rPr>
      </w:pPr>
      <w:r>
        <w:rPr>
          <w:noProof/>
        </w:rPr>
        <w:t>Office of Utilities Regulation</w:t>
      </w:r>
    </w:p>
    <w:p w:rsidR="00B07C39" w:rsidRDefault="00B07C39" w:rsidP="00B07C39">
      <w:pPr>
        <w:pStyle w:val="PlainText"/>
        <w:rPr>
          <w:noProof/>
        </w:rPr>
      </w:pPr>
      <w:r>
        <w:rPr>
          <w:noProof/>
        </w:rPr>
        <w:t>3rd Floor, PCJ Resource Centre</w:t>
      </w:r>
    </w:p>
    <w:p w:rsidR="00B07C39" w:rsidRDefault="00B07C39" w:rsidP="00B07C39">
      <w:pPr>
        <w:pStyle w:val="PlainText"/>
        <w:rPr>
          <w:noProof/>
        </w:rPr>
      </w:pPr>
      <w:r>
        <w:rPr>
          <w:noProof/>
        </w:rPr>
        <w:t>36 Trafalgar Road</w:t>
      </w:r>
    </w:p>
    <w:p w:rsidR="00B07C39" w:rsidRDefault="00B07C39" w:rsidP="00B07C39">
      <w:pPr>
        <w:pStyle w:val="PlainText"/>
        <w:rPr>
          <w:noProof/>
        </w:rPr>
      </w:pPr>
      <w:r>
        <w:rPr>
          <w:noProof/>
        </w:rPr>
        <w:t>Kingston 10</w:t>
      </w:r>
    </w:p>
    <w:p w:rsidR="00B07C39" w:rsidRDefault="00B07C39" w:rsidP="00B07C39">
      <w:pPr>
        <w:pStyle w:val="PlainText"/>
        <w:rPr>
          <w:noProof/>
        </w:rPr>
      </w:pPr>
      <w:r>
        <w:rPr>
          <w:noProof/>
        </w:rPr>
        <w:t>Jamaica</w:t>
      </w:r>
    </w:p>
    <w:p w:rsidR="00B07C39" w:rsidRDefault="00B07C39" w:rsidP="00B07C39">
      <w:pPr>
        <w:pStyle w:val="PlainText"/>
        <w:rPr>
          <w:noProof/>
        </w:rPr>
      </w:pPr>
    </w:p>
    <w:p w:rsidR="00B07C39" w:rsidRDefault="00B07C39" w:rsidP="00B07C39">
      <w:pPr>
        <w:pStyle w:val="PlainText"/>
        <w:rPr>
          <w:noProof/>
        </w:rPr>
      </w:pPr>
      <w:r>
        <w:rPr>
          <w:noProof/>
        </w:rPr>
        <w:t>Phone: 876-968-6053-4 / Fax: 876-929-3635</w:t>
      </w:r>
    </w:p>
    <w:p w:rsidR="00B07C39" w:rsidRDefault="00B07C39" w:rsidP="00B07C39">
      <w:pPr>
        <w:pStyle w:val="PlainText"/>
        <w:rPr>
          <w:noProof/>
        </w:rPr>
      </w:pPr>
      <w:r>
        <w:rPr>
          <w:noProof/>
        </w:rPr>
        <w:t>website: www.our.org.jm</w:t>
      </w:r>
    </w:p>
    <w:p w:rsidR="00B07C39" w:rsidRDefault="00B07C39" w:rsidP="00B07C39">
      <w:pPr>
        <w:pStyle w:val="PlainText"/>
        <w:rPr>
          <w:noProof/>
        </w:rPr>
      </w:pPr>
      <w:r>
        <w:rPr>
          <w:noProof/>
        </w:rPr>
        <w:t>facebook: facebook.com/officeofutilitiesregulation</w:t>
      </w:r>
    </w:p>
    <w:p w:rsidR="00B07C39" w:rsidRDefault="00B07C39" w:rsidP="00B07C39">
      <w:pPr>
        <w:pStyle w:val="PlainText"/>
        <w:rPr>
          <w:noProof/>
        </w:rPr>
      </w:pPr>
      <w:r>
        <w:rPr>
          <w:noProof/>
        </w:rPr>
        <w:t>twitter: theOURja</w:t>
      </w:r>
    </w:p>
    <w:p w:rsidR="00B07C39" w:rsidRDefault="00B07C39"/>
    <w:p w:rsidR="00B07C39" w:rsidRDefault="00B07C39"/>
    <w:p w:rsidR="00B07C39" w:rsidRDefault="00B07C39"/>
    <w:p w:rsidR="00B07C39" w:rsidRDefault="001E1389">
      <w:pPr>
        <w:rPr>
          <w:b/>
          <w:sz w:val="28"/>
          <w:szCs w:val="28"/>
        </w:rPr>
      </w:pPr>
      <w:r w:rsidRPr="001E1389">
        <w:rPr>
          <w:b/>
          <w:noProof/>
          <w:sz w:val="28"/>
          <w:szCs w:val="28"/>
          <w:lang w:val="en-GB" w:eastAsia="en-GB"/>
        </w:rPr>
        <mc:AlternateContent>
          <mc:Choice Requires="wps">
            <w:drawing>
              <wp:anchor distT="45720" distB="45720" distL="114300" distR="114300" simplePos="0" relativeHeight="251669504" behindDoc="0" locked="0" layoutInCell="1" allowOverlap="1" wp14:anchorId="74C7BF11" wp14:editId="2DF9EA0F">
                <wp:simplePos x="0" y="0"/>
                <wp:positionH relativeFrom="margin">
                  <wp:align>right</wp:align>
                </wp:positionH>
                <wp:positionV relativeFrom="paragraph">
                  <wp:posOffset>269240</wp:posOffset>
                </wp:positionV>
                <wp:extent cx="8124825" cy="81788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4825" cy="817880"/>
                        </a:xfrm>
                        <a:prstGeom prst="rect">
                          <a:avLst/>
                        </a:prstGeom>
                        <a:solidFill>
                          <a:srgbClr val="FFFFFF"/>
                        </a:solidFill>
                        <a:ln w="9525">
                          <a:solidFill>
                            <a:srgbClr val="000000"/>
                          </a:solidFill>
                          <a:miter lim="800000"/>
                          <a:headEnd/>
                          <a:tailEnd/>
                        </a:ln>
                      </wps:spPr>
                      <wps:txbx>
                        <w:txbxContent>
                          <w:p w:rsidR="00E81B3B" w:rsidRPr="00B96E19" w:rsidRDefault="00E81B3B" w:rsidP="00B96E19">
                            <w:pPr>
                              <w:jc w:val="both"/>
                              <w:rPr>
                                <w:rFonts w:ascii="Arial" w:hAnsi="Arial" w:cs="Arial"/>
                                <w:iCs/>
                                <w:sz w:val="20"/>
                                <w:szCs w:val="20"/>
                              </w:rPr>
                            </w:pPr>
                            <w:r w:rsidRPr="00B96E19">
                              <w:rPr>
                                <w:rFonts w:ascii="Arial" w:hAnsi="Arial" w:cs="Arial"/>
                                <w:iCs/>
                                <w:sz w:val="20"/>
                                <w:szCs w:val="20"/>
                              </w:rPr>
                              <w:t xml:space="preserve">The information and statistical material </w:t>
                            </w:r>
                            <w:r>
                              <w:rPr>
                                <w:rFonts w:ascii="Arial" w:hAnsi="Arial" w:cs="Arial"/>
                                <w:iCs/>
                                <w:sz w:val="20"/>
                                <w:szCs w:val="20"/>
                              </w:rPr>
                              <w:t xml:space="preserve">contained in this document were </w:t>
                            </w:r>
                            <w:r w:rsidRPr="00B96E19">
                              <w:rPr>
                                <w:rFonts w:ascii="Arial" w:hAnsi="Arial" w:cs="Arial"/>
                                <w:iCs/>
                                <w:sz w:val="20"/>
                                <w:szCs w:val="20"/>
                              </w:rPr>
                              <w:t xml:space="preserve">obtained from various sources available to the Office of Utilities Regulation </w:t>
                            </w:r>
                            <w:r>
                              <w:rPr>
                                <w:rFonts w:ascii="Arial" w:hAnsi="Arial" w:cs="Arial"/>
                                <w:iCs/>
                                <w:sz w:val="20"/>
                                <w:szCs w:val="20"/>
                              </w:rPr>
                              <w:t xml:space="preserve">(OUR) </w:t>
                            </w:r>
                            <w:r w:rsidRPr="00B96E19">
                              <w:rPr>
                                <w:rFonts w:ascii="Arial" w:hAnsi="Arial" w:cs="Arial"/>
                                <w:iCs/>
                                <w:sz w:val="20"/>
                                <w:szCs w:val="20"/>
                              </w:rPr>
                              <w:t xml:space="preserve">at the time of publication and are intended for information purposes only. The OUR does not give any warranty as to the accuracy, completeness or reliability of the information and shall not be liable for any loss or damage howsoever caused arising out of any use or reliance upon any statements made or information contained in this document. </w:t>
                            </w:r>
                          </w:p>
                          <w:p w:rsidR="00E81B3B" w:rsidRDefault="00E81B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BF11" id="_x0000_t202" coordsize="21600,21600" o:spt="202" path="m,l,21600r21600,l21600,xe">
                <v:stroke joinstyle="miter"/>
                <v:path gradientshapeok="t" o:connecttype="rect"/>
              </v:shapetype>
              <v:shape id="Text Box 2" o:spid="_x0000_s1026" type="#_x0000_t202" style="position:absolute;margin-left:588.55pt;margin-top:21.2pt;width:639.75pt;height:64.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">
                <v:textbox>
                  <w:txbxContent>
                    <w:p w:rsidR="00E81B3B" w:rsidRPr="00B96E19" w:rsidRDefault="00E81B3B" w:rsidP="00B96E19">
                      <w:pPr>
                        <w:jc w:val="both"/>
                        <w:rPr>
                          <w:rFonts w:ascii="Arial" w:hAnsi="Arial" w:cs="Arial"/>
                          <w:iCs/>
                          <w:sz w:val="20"/>
                          <w:szCs w:val="20"/>
                        </w:rPr>
                      </w:pPr>
                      <w:r w:rsidRPr="00B96E19">
                        <w:rPr>
                          <w:rFonts w:ascii="Arial" w:hAnsi="Arial" w:cs="Arial"/>
                          <w:iCs/>
                          <w:sz w:val="20"/>
                          <w:szCs w:val="20"/>
                        </w:rPr>
                        <w:t xml:space="preserve">The information and statistical material </w:t>
                      </w:r>
                      <w:r>
                        <w:rPr>
                          <w:rFonts w:ascii="Arial" w:hAnsi="Arial" w:cs="Arial"/>
                          <w:iCs/>
                          <w:sz w:val="20"/>
                          <w:szCs w:val="20"/>
                        </w:rPr>
                        <w:t xml:space="preserve">contained in this document were </w:t>
                      </w:r>
                      <w:r w:rsidRPr="00B96E19">
                        <w:rPr>
                          <w:rFonts w:ascii="Arial" w:hAnsi="Arial" w:cs="Arial"/>
                          <w:iCs/>
                          <w:sz w:val="20"/>
                          <w:szCs w:val="20"/>
                        </w:rPr>
                        <w:t xml:space="preserve">obtained from various sources available to the Office of Utilities Regulation </w:t>
                      </w:r>
                      <w:r>
                        <w:rPr>
                          <w:rFonts w:ascii="Arial" w:hAnsi="Arial" w:cs="Arial"/>
                          <w:iCs/>
                          <w:sz w:val="20"/>
                          <w:szCs w:val="20"/>
                        </w:rPr>
                        <w:t xml:space="preserve">(OUR) </w:t>
                      </w:r>
                      <w:r w:rsidRPr="00B96E19">
                        <w:rPr>
                          <w:rFonts w:ascii="Arial" w:hAnsi="Arial" w:cs="Arial"/>
                          <w:iCs/>
                          <w:sz w:val="20"/>
                          <w:szCs w:val="20"/>
                        </w:rPr>
                        <w:t xml:space="preserve">at the time of publication and are intended for information purposes only. The OUR does not give any warranty as to the accuracy, completeness or reliability of the information and shall not be liable for any loss or damage howsoever caused arising out of any use or reliance upon any statements made or information contained in this document. </w:t>
                      </w:r>
                    </w:p>
                    <w:p w:rsidR="00E81B3B" w:rsidRDefault="00E81B3B"/>
                  </w:txbxContent>
                </v:textbox>
                <w10:wrap type="square" anchorx="margin"/>
              </v:shape>
            </w:pict>
          </mc:Fallback>
        </mc:AlternateContent>
      </w:r>
      <w:r w:rsidR="00172D9D">
        <w:rPr>
          <w:b/>
          <w:sz w:val="28"/>
          <w:szCs w:val="28"/>
        </w:rPr>
        <w:t xml:space="preserve">  </w:t>
      </w:r>
      <w:r w:rsidR="00B07C39" w:rsidRPr="00B96E19">
        <w:rPr>
          <w:b/>
          <w:sz w:val="28"/>
          <w:szCs w:val="28"/>
        </w:rPr>
        <w:t>Legal Disclaimer</w:t>
      </w:r>
    </w:p>
    <w:p w:rsidR="001E1389" w:rsidRPr="00B96E19" w:rsidRDefault="001E1389">
      <w:pPr>
        <w:rPr>
          <w:b/>
          <w:sz w:val="28"/>
          <w:szCs w:val="28"/>
        </w:rPr>
      </w:pPr>
    </w:p>
    <w:p w:rsidR="00B07C39" w:rsidRDefault="00B07C39"/>
    <w:p w:rsidR="00B07C39" w:rsidRDefault="00B07C39"/>
    <w:p w:rsidR="00D14291" w:rsidRDefault="00D14291"/>
    <w:p w:rsidR="00D14291" w:rsidRDefault="00D14291"/>
    <w:p w:rsidR="00D14291" w:rsidRDefault="00D14291"/>
    <w:p w:rsidR="00D14291" w:rsidRDefault="00D14291"/>
    <w:p w:rsidR="00D14291" w:rsidRDefault="00D14291"/>
    <w:p w:rsidR="00D14291" w:rsidRDefault="00D14291"/>
    <w:p w:rsidR="00D14291" w:rsidRDefault="00D14291"/>
    <w:p w:rsidR="00D14291" w:rsidRDefault="00D14291"/>
    <w:p w:rsidR="00D14291" w:rsidRDefault="00D14291"/>
    <w:p w:rsidR="00D14291" w:rsidRDefault="00D14291">
      <w:r>
        <w:rPr>
          <w:noProof/>
          <w:lang w:val="en-GB" w:eastAsia="en-GB"/>
        </w:rPr>
        <mc:AlternateContent>
          <mc:Choice Requires="wps">
            <w:drawing>
              <wp:anchor distT="45720" distB="45720" distL="114300" distR="114300" simplePos="0" relativeHeight="251673600" behindDoc="0" locked="0" layoutInCell="1" allowOverlap="1" wp14:anchorId="7F1886EB" wp14:editId="6AFCDF5A">
                <wp:simplePos x="0" y="0"/>
                <wp:positionH relativeFrom="column">
                  <wp:posOffset>409575</wp:posOffset>
                </wp:positionH>
                <wp:positionV relativeFrom="paragraph">
                  <wp:posOffset>6985</wp:posOffset>
                </wp:positionV>
                <wp:extent cx="7305675" cy="1284605"/>
                <wp:effectExtent l="0" t="0" r="2857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284605"/>
                        </a:xfrm>
                        <a:prstGeom prst="rect">
                          <a:avLst/>
                        </a:prstGeom>
                        <a:solidFill>
                          <a:srgbClr val="FFFFFF"/>
                        </a:solidFill>
                        <a:ln w="9525">
                          <a:solidFill>
                            <a:srgbClr val="000000"/>
                          </a:solidFill>
                          <a:miter lim="800000"/>
                          <a:headEnd/>
                          <a:tailEnd/>
                        </a:ln>
                      </wps:spPr>
                      <wps:txbx>
                        <w:txbxContent>
                          <w:p w:rsidR="00E81B3B" w:rsidRPr="009671D9" w:rsidRDefault="00E81B3B" w:rsidP="00D14291">
                            <w:pPr>
                              <w:shd w:val="clear" w:color="auto" w:fill="9CC2E5" w:themeFill="accent1" w:themeFillTint="99"/>
                              <w:jc w:val="center"/>
                              <w:rPr>
                                <w:b/>
                                <w:sz w:val="28"/>
                                <w:szCs w:val="28"/>
                              </w:rPr>
                            </w:pPr>
                            <w:r w:rsidRPr="009671D9">
                              <w:rPr>
                                <w:b/>
                                <w:sz w:val="28"/>
                                <w:szCs w:val="28"/>
                                <w:u w:val="single"/>
                              </w:rPr>
                              <w:t>NOTICE:</w:t>
                            </w:r>
                          </w:p>
                          <w:p w:rsidR="00E81B3B" w:rsidRDefault="00E81B3B" w:rsidP="00564407">
                            <w:pPr>
                              <w:jc w:val="both"/>
                            </w:pPr>
                            <w:r w:rsidRPr="00B72DD1">
                              <w:rPr>
                                <w:b/>
                              </w:rPr>
                              <w:t xml:space="preserve">The OUR has standardized the definition for “active subscription” in order to ensure consistency in the reporting </w:t>
                            </w:r>
                            <w:r>
                              <w:rPr>
                                <w:b/>
                              </w:rPr>
                              <w:t xml:space="preserve">of subscription data </w:t>
                            </w:r>
                            <w:r w:rsidRPr="00B72DD1">
                              <w:rPr>
                                <w:b/>
                              </w:rPr>
                              <w:t>by all licensees.  This standardization may have an impact on subscription data trends depending on the internal reporting standards</w:t>
                            </w:r>
                            <w:r>
                              <w:rPr>
                                <w:b/>
                              </w:rPr>
                              <w:t xml:space="preserve"> employed by </w:t>
                            </w:r>
                            <w:r w:rsidRPr="00B72DD1">
                              <w:rPr>
                                <w:b/>
                              </w:rPr>
                              <w:t>individual licensee</w:t>
                            </w:r>
                            <w:r>
                              <w:rPr>
                                <w:b/>
                              </w:rPr>
                              <w:t>s which was previously used as the basis for reporting subscription data to the OUR</w:t>
                            </w:r>
                            <w:r w:rsidRPr="00B72DD1">
                              <w:rPr>
                                <w:b/>
                              </w:rPr>
                              <w:t>. The standardized definition of “active subscription</w:t>
                            </w:r>
                            <w:r>
                              <w:rPr>
                                <w:b/>
                              </w:rPr>
                              <w:t>” can be found in the appendix.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886EB" id="_x0000_s1027" type="#_x0000_t202" style="position:absolute;margin-left:32.25pt;margin-top:.55pt;width:575.25pt;height:101.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">
                <v:textbox>
                  <w:txbxContent>
                    <w:p w:rsidR="00E81B3B" w:rsidRPr="009671D9" w:rsidRDefault="00E81B3B" w:rsidP="00D14291">
                      <w:pPr>
                        <w:shd w:val="clear" w:color="auto" w:fill="9CC2E5" w:themeFill="accent1" w:themeFillTint="99"/>
                        <w:jc w:val="center"/>
                        <w:rPr>
                          <w:b/>
                          <w:sz w:val="28"/>
                          <w:szCs w:val="28"/>
                        </w:rPr>
                      </w:pPr>
                      <w:r w:rsidRPr="009671D9">
                        <w:rPr>
                          <w:b/>
                          <w:sz w:val="28"/>
                          <w:szCs w:val="28"/>
                          <w:u w:val="single"/>
                        </w:rPr>
                        <w:t>NOTICE:</w:t>
                      </w:r>
                    </w:p>
                    <w:p w:rsidR="00E81B3B" w:rsidRDefault="00E81B3B" w:rsidP="00564407">
                      <w:pPr>
                        <w:jc w:val="both"/>
                      </w:pPr>
                      <w:r w:rsidRPr="00B72DD1">
                        <w:rPr>
                          <w:b/>
                        </w:rPr>
                        <w:t xml:space="preserve">The OUR has standardized the definition for “active subscription” in order to ensure consistency in the reporting </w:t>
                      </w:r>
                      <w:r>
                        <w:rPr>
                          <w:b/>
                        </w:rPr>
                        <w:t xml:space="preserve">of subscription data </w:t>
                      </w:r>
                      <w:r w:rsidRPr="00B72DD1">
                        <w:rPr>
                          <w:b/>
                        </w:rPr>
                        <w:t>by all licensees.  This standardization may have an impact on subscription data trends depending on the internal reporting standards</w:t>
                      </w:r>
                      <w:r>
                        <w:rPr>
                          <w:b/>
                        </w:rPr>
                        <w:t xml:space="preserve"> employed by </w:t>
                      </w:r>
                      <w:r w:rsidRPr="00B72DD1">
                        <w:rPr>
                          <w:b/>
                        </w:rPr>
                        <w:t>individual licensee</w:t>
                      </w:r>
                      <w:r>
                        <w:rPr>
                          <w:b/>
                        </w:rPr>
                        <w:t>s which was previously used as the basis for reporting subscription data to the OUR</w:t>
                      </w:r>
                      <w:r w:rsidRPr="00B72DD1">
                        <w:rPr>
                          <w:b/>
                        </w:rPr>
                        <w:t>. The standardized definition of “active subscription</w:t>
                      </w:r>
                      <w:r>
                        <w:rPr>
                          <w:b/>
                        </w:rPr>
                        <w:t>” can be found in the appendix.</w:t>
                      </w:r>
                    </w:p>
                  </w:txbxContent>
                </v:textbox>
                <w10:wrap type="square"/>
              </v:shape>
            </w:pict>
          </mc:Fallback>
        </mc:AlternateContent>
      </w:r>
    </w:p>
    <w:p w:rsidR="00D14291" w:rsidRDefault="00D14291"/>
    <w:p w:rsidR="00D14291" w:rsidRDefault="00D14291"/>
    <w:p w:rsidR="00D14291" w:rsidRDefault="00D14291"/>
    <w:p w:rsidR="00D14291" w:rsidRDefault="00D14291"/>
    <w:p w:rsidR="00D14291" w:rsidRDefault="00D14291"/>
    <w:p w:rsidR="00D14291" w:rsidRDefault="00D14291"/>
    <w:p w:rsidR="00D14291" w:rsidRDefault="00D14291"/>
    <w:p w:rsidR="00F3682B" w:rsidRDefault="00F3682B"/>
    <w:p w:rsidR="00D14291" w:rsidRDefault="00D14291"/>
    <w:p w:rsidR="00D14291" w:rsidRDefault="00D14291"/>
    <w:sdt>
      <w:sdtPr>
        <w:rPr>
          <w:rFonts w:asciiTheme="minorHAnsi" w:eastAsiaTheme="minorHAnsi" w:hAnsiTheme="minorHAnsi" w:cstheme="minorBidi"/>
          <w:color w:val="auto"/>
          <w:sz w:val="22"/>
          <w:szCs w:val="22"/>
          <w:lang w:val="en-JM"/>
        </w:rPr>
        <w:id w:val="-980220180"/>
        <w:docPartObj>
          <w:docPartGallery w:val="Table of Contents"/>
          <w:docPartUnique/>
        </w:docPartObj>
      </w:sdtPr>
      <w:sdtEndPr>
        <w:rPr>
          <w:b/>
          <w:bCs/>
          <w:noProof/>
        </w:rPr>
      </w:sdtEndPr>
      <w:sdtContent>
        <w:p w:rsidR="002C2B20" w:rsidRPr="002C2B20" w:rsidRDefault="002C2B20">
          <w:pPr>
            <w:pStyle w:val="TOCHeading"/>
            <w:rPr>
              <w:b/>
            </w:rPr>
          </w:pPr>
          <w:r w:rsidRPr="002C2B20">
            <w:rPr>
              <w:b/>
            </w:rPr>
            <w:t>Contents</w:t>
          </w:r>
        </w:p>
        <w:p w:rsidR="00B26241" w:rsidRDefault="002C2B20">
          <w:pPr>
            <w:pStyle w:val="TOC1"/>
            <w:tabs>
              <w:tab w:val="right" w:leader="dot" w:pos="12950"/>
            </w:tabs>
            <w:rPr>
              <w:rFonts w:eastAsiaTheme="minorEastAsia"/>
              <w:noProof/>
              <w:lang w:val="en-GB" w:eastAsia="en-GB"/>
            </w:rPr>
          </w:pPr>
          <w:r>
            <w:fldChar w:fldCharType="begin"/>
          </w:r>
          <w:r>
            <w:instrText xml:space="preserve"> TOC \o "1-3" \h \z \u </w:instrText>
          </w:r>
          <w:r>
            <w:fldChar w:fldCharType="separate"/>
          </w:r>
          <w:hyperlink w:anchor="_Toc7797962" w:history="1">
            <w:r w:rsidR="00B26241" w:rsidRPr="0065552F">
              <w:rPr>
                <w:rStyle w:val="Hyperlink"/>
                <w:b/>
                <w:noProof/>
              </w:rPr>
              <w:t>Fixed Market Data</w:t>
            </w:r>
            <w:r w:rsidR="00B26241">
              <w:rPr>
                <w:noProof/>
                <w:webHidden/>
              </w:rPr>
              <w:tab/>
            </w:r>
            <w:r w:rsidR="00B26241">
              <w:rPr>
                <w:noProof/>
                <w:webHidden/>
              </w:rPr>
              <w:fldChar w:fldCharType="begin"/>
            </w:r>
            <w:r w:rsidR="00B26241">
              <w:rPr>
                <w:noProof/>
                <w:webHidden/>
              </w:rPr>
              <w:instrText xml:space="preserve"> PAGEREF _Toc7797962 \h </w:instrText>
            </w:r>
            <w:r w:rsidR="00B26241">
              <w:rPr>
                <w:noProof/>
                <w:webHidden/>
              </w:rPr>
            </w:r>
            <w:r w:rsidR="00B26241">
              <w:rPr>
                <w:noProof/>
                <w:webHidden/>
              </w:rPr>
              <w:fldChar w:fldCharType="separate"/>
            </w:r>
            <w:r w:rsidR="00B26241">
              <w:rPr>
                <w:noProof/>
                <w:webHidden/>
              </w:rPr>
              <w:t>5</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63" w:history="1">
            <w:r w:rsidR="00B26241" w:rsidRPr="0065552F">
              <w:rPr>
                <w:rStyle w:val="Hyperlink"/>
                <w:b/>
                <w:noProof/>
              </w:rPr>
              <w:t>Figure 1:</w:t>
            </w:r>
            <w:r w:rsidR="00B26241">
              <w:rPr>
                <w:rFonts w:eastAsiaTheme="minorEastAsia"/>
                <w:noProof/>
                <w:lang w:val="en-GB" w:eastAsia="en-GB"/>
              </w:rPr>
              <w:tab/>
            </w:r>
            <w:r w:rsidR="00B26241" w:rsidRPr="0065552F">
              <w:rPr>
                <w:rStyle w:val="Hyperlink"/>
                <w:b/>
                <w:noProof/>
              </w:rPr>
              <w:t>Fixed Services Subscriptions</w:t>
            </w:r>
            <w:r w:rsidR="00B26241">
              <w:rPr>
                <w:noProof/>
                <w:webHidden/>
              </w:rPr>
              <w:tab/>
            </w:r>
            <w:r w:rsidR="00B26241">
              <w:rPr>
                <w:noProof/>
                <w:webHidden/>
              </w:rPr>
              <w:fldChar w:fldCharType="begin"/>
            </w:r>
            <w:r w:rsidR="00B26241">
              <w:rPr>
                <w:noProof/>
                <w:webHidden/>
              </w:rPr>
              <w:instrText xml:space="preserve"> PAGEREF _Toc7797963 \h </w:instrText>
            </w:r>
            <w:r w:rsidR="00B26241">
              <w:rPr>
                <w:noProof/>
                <w:webHidden/>
              </w:rPr>
            </w:r>
            <w:r w:rsidR="00B26241">
              <w:rPr>
                <w:noProof/>
                <w:webHidden/>
              </w:rPr>
              <w:fldChar w:fldCharType="separate"/>
            </w:r>
            <w:r w:rsidR="00B26241">
              <w:rPr>
                <w:noProof/>
                <w:webHidden/>
              </w:rPr>
              <w:t>6</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64" w:history="1">
            <w:r w:rsidR="00B26241" w:rsidRPr="0065552F">
              <w:rPr>
                <w:rStyle w:val="Hyperlink"/>
                <w:b/>
                <w:noProof/>
              </w:rPr>
              <w:t>Figure 2:</w:t>
            </w:r>
            <w:r w:rsidR="00B26241">
              <w:rPr>
                <w:rFonts w:eastAsiaTheme="minorEastAsia"/>
                <w:noProof/>
                <w:lang w:val="en-GB" w:eastAsia="en-GB"/>
              </w:rPr>
              <w:tab/>
            </w:r>
            <w:r w:rsidR="00B26241" w:rsidRPr="0065552F">
              <w:rPr>
                <w:rStyle w:val="Hyperlink"/>
                <w:b/>
                <w:noProof/>
              </w:rPr>
              <w:t>Fixed Call Minutes</w:t>
            </w:r>
            <w:r w:rsidR="00B26241">
              <w:rPr>
                <w:noProof/>
                <w:webHidden/>
              </w:rPr>
              <w:tab/>
            </w:r>
            <w:r w:rsidR="00B26241">
              <w:rPr>
                <w:noProof/>
                <w:webHidden/>
              </w:rPr>
              <w:fldChar w:fldCharType="begin"/>
            </w:r>
            <w:r w:rsidR="00B26241">
              <w:rPr>
                <w:noProof/>
                <w:webHidden/>
              </w:rPr>
              <w:instrText xml:space="preserve"> PAGEREF _Toc7797964 \h </w:instrText>
            </w:r>
            <w:r w:rsidR="00B26241">
              <w:rPr>
                <w:noProof/>
                <w:webHidden/>
              </w:rPr>
            </w:r>
            <w:r w:rsidR="00B26241">
              <w:rPr>
                <w:noProof/>
                <w:webHidden/>
              </w:rPr>
              <w:fldChar w:fldCharType="separate"/>
            </w:r>
            <w:r w:rsidR="00B26241">
              <w:rPr>
                <w:noProof/>
                <w:webHidden/>
              </w:rPr>
              <w:t>7</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65" w:history="1">
            <w:r w:rsidR="00B26241" w:rsidRPr="0065552F">
              <w:rPr>
                <w:rStyle w:val="Hyperlink"/>
                <w:b/>
                <w:noProof/>
              </w:rPr>
              <w:t>Figure 3:</w:t>
            </w:r>
            <w:r w:rsidR="00B26241">
              <w:rPr>
                <w:rFonts w:eastAsiaTheme="minorEastAsia"/>
                <w:noProof/>
                <w:lang w:val="en-GB" w:eastAsia="en-GB"/>
              </w:rPr>
              <w:tab/>
            </w:r>
            <w:r w:rsidR="00B26241" w:rsidRPr="0065552F">
              <w:rPr>
                <w:rStyle w:val="Hyperlink"/>
                <w:b/>
                <w:noProof/>
              </w:rPr>
              <w:t>Fixed Call Revenue Distribution</w:t>
            </w:r>
            <w:r w:rsidR="00B26241">
              <w:rPr>
                <w:noProof/>
                <w:webHidden/>
              </w:rPr>
              <w:tab/>
            </w:r>
            <w:r w:rsidR="00B26241">
              <w:rPr>
                <w:noProof/>
                <w:webHidden/>
              </w:rPr>
              <w:fldChar w:fldCharType="begin"/>
            </w:r>
            <w:r w:rsidR="00B26241">
              <w:rPr>
                <w:noProof/>
                <w:webHidden/>
              </w:rPr>
              <w:instrText xml:space="preserve"> PAGEREF _Toc7797965 \h </w:instrText>
            </w:r>
            <w:r w:rsidR="00B26241">
              <w:rPr>
                <w:noProof/>
                <w:webHidden/>
              </w:rPr>
            </w:r>
            <w:r w:rsidR="00B26241">
              <w:rPr>
                <w:noProof/>
                <w:webHidden/>
              </w:rPr>
              <w:fldChar w:fldCharType="separate"/>
            </w:r>
            <w:r w:rsidR="00B26241">
              <w:rPr>
                <w:noProof/>
                <w:webHidden/>
              </w:rPr>
              <w:t>8</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66" w:history="1">
            <w:r w:rsidR="00B26241" w:rsidRPr="0065552F">
              <w:rPr>
                <w:rStyle w:val="Hyperlink"/>
                <w:b/>
                <w:noProof/>
              </w:rPr>
              <w:t>Figure 4:</w:t>
            </w:r>
            <w:r w:rsidR="00B26241">
              <w:rPr>
                <w:rFonts w:eastAsiaTheme="minorEastAsia"/>
                <w:noProof/>
                <w:lang w:val="en-GB" w:eastAsia="en-GB"/>
              </w:rPr>
              <w:tab/>
            </w:r>
            <w:r w:rsidR="00B26241" w:rsidRPr="0065552F">
              <w:rPr>
                <w:rStyle w:val="Hyperlink"/>
                <w:b/>
                <w:noProof/>
              </w:rPr>
              <w:t>Fixed Services Average Revenue per User (ARPU)</w:t>
            </w:r>
            <w:r w:rsidR="00B26241">
              <w:rPr>
                <w:noProof/>
                <w:webHidden/>
              </w:rPr>
              <w:tab/>
            </w:r>
            <w:r w:rsidR="00B26241">
              <w:rPr>
                <w:noProof/>
                <w:webHidden/>
              </w:rPr>
              <w:fldChar w:fldCharType="begin"/>
            </w:r>
            <w:r w:rsidR="00B26241">
              <w:rPr>
                <w:noProof/>
                <w:webHidden/>
              </w:rPr>
              <w:instrText xml:space="preserve"> PAGEREF _Toc7797966 \h </w:instrText>
            </w:r>
            <w:r w:rsidR="00B26241">
              <w:rPr>
                <w:noProof/>
                <w:webHidden/>
              </w:rPr>
            </w:r>
            <w:r w:rsidR="00B26241">
              <w:rPr>
                <w:noProof/>
                <w:webHidden/>
              </w:rPr>
              <w:fldChar w:fldCharType="separate"/>
            </w:r>
            <w:r w:rsidR="00B26241">
              <w:rPr>
                <w:noProof/>
                <w:webHidden/>
              </w:rPr>
              <w:t>9</w:t>
            </w:r>
            <w:r w:rsidR="00B26241">
              <w:rPr>
                <w:noProof/>
                <w:webHidden/>
              </w:rPr>
              <w:fldChar w:fldCharType="end"/>
            </w:r>
          </w:hyperlink>
        </w:p>
        <w:p w:rsidR="00B26241" w:rsidRDefault="00E81B3B">
          <w:pPr>
            <w:pStyle w:val="TOC1"/>
            <w:tabs>
              <w:tab w:val="right" w:leader="dot" w:pos="12950"/>
            </w:tabs>
            <w:rPr>
              <w:rFonts w:eastAsiaTheme="minorEastAsia"/>
              <w:noProof/>
              <w:lang w:val="en-GB" w:eastAsia="en-GB"/>
            </w:rPr>
          </w:pPr>
          <w:hyperlink w:anchor="_Toc7797967" w:history="1">
            <w:r w:rsidR="00B26241" w:rsidRPr="0065552F">
              <w:rPr>
                <w:rStyle w:val="Hyperlink"/>
                <w:b/>
                <w:noProof/>
              </w:rPr>
              <w:t>Mobile Market Data</w:t>
            </w:r>
            <w:r w:rsidR="00B26241">
              <w:rPr>
                <w:noProof/>
                <w:webHidden/>
              </w:rPr>
              <w:tab/>
            </w:r>
            <w:r w:rsidR="00B26241">
              <w:rPr>
                <w:noProof/>
                <w:webHidden/>
              </w:rPr>
              <w:fldChar w:fldCharType="begin"/>
            </w:r>
            <w:r w:rsidR="00B26241">
              <w:rPr>
                <w:noProof/>
                <w:webHidden/>
              </w:rPr>
              <w:instrText xml:space="preserve"> PAGEREF _Toc7797967 \h </w:instrText>
            </w:r>
            <w:r w:rsidR="00B26241">
              <w:rPr>
                <w:noProof/>
                <w:webHidden/>
              </w:rPr>
            </w:r>
            <w:r w:rsidR="00B26241">
              <w:rPr>
                <w:noProof/>
                <w:webHidden/>
              </w:rPr>
              <w:fldChar w:fldCharType="separate"/>
            </w:r>
            <w:r w:rsidR="00B26241">
              <w:rPr>
                <w:noProof/>
                <w:webHidden/>
              </w:rPr>
              <w:t>10</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68" w:history="1">
            <w:r w:rsidR="00B26241" w:rsidRPr="0065552F">
              <w:rPr>
                <w:rStyle w:val="Hyperlink"/>
                <w:b/>
                <w:noProof/>
              </w:rPr>
              <w:t>Figure 5:</w:t>
            </w:r>
            <w:r w:rsidR="00B26241">
              <w:rPr>
                <w:rFonts w:eastAsiaTheme="minorEastAsia"/>
                <w:noProof/>
                <w:lang w:val="en-GB" w:eastAsia="en-GB"/>
              </w:rPr>
              <w:tab/>
            </w:r>
            <w:r w:rsidR="00B26241" w:rsidRPr="0065552F">
              <w:rPr>
                <w:rStyle w:val="Hyperlink"/>
                <w:b/>
                <w:noProof/>
              </w:rPr>
              <w:t>Mobile Services Subscriptions</w:t>
            </w:r>
            <w:r w:rsidR="00B26241">
              <w:rPr>
                <w:noProof/>
                <w:webHidden/>
              </w:rPr>
              <w:tab/>
            </w:r>
            <w:r w:rsidR="00B26241">
              <w:rPr>
                <w:noProof/>
                <w:webHidden/>
              </w:rPr>
              <w:fldChar w:fldCharType="begin"/>
            </w:r>
            <w:r w:rsidR="00B26241">
              <w:rPr>
                <w:noProof/>
                <w:webHidden/>
              </w:rPr>
              <w:instrText xml:space="preserve"> PAGEREF _Toc7797968 \h </w:instrText>
            </w:r>
            <w:r w:rsidR="00B26241">
              <w:rPr>
                <w:noProof/>
                <w:webHidden/>
              </w:rPr>
            </w:r>
            <w:r w:rsidR="00B26241">
              <w:rPr>
                <w:noProof/>
                <w:webHidden/>
              </w:rPr>
              <w:fldChar w:fldCharType="separate"/>
            </w:r>
            <w:r w:rsidR="00B26241">
              <w:rPr>
                <w:noProof/>
                <w:webHidden/>
              </w:rPr>
              <w:t>11</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69" w:history="1">
            <w:r w:rsidR="00B26241" w:rsidRPr="0065552F">
              <w:rPr>
                <w:rStyle w:val="Hyperlink"/>
                <w:b/>
                <w:noProof/>
              </w:rPr>
              <w:t>Figure 6:</w:t>
            </w:r>
            <w:r w:rsidR="00B26241">
              <w:rPr>
                <w:rFonts w:eastAsiaTheme="minorEastAsia"/>
                <w:noProof/>
                <w:lang w:val="en-GB" w:eastAsia="en-GB"/>
              </w:rPr>
              <w:tab/>
            </w:r>
            <w:r w:rsidR="00B26241" w:rsidRPr="0065552F">
              <w:rPr>
                <w:rStyle w:val="Hyperlink"/>
                <w:b/>
                <w:noProof/>
              </w:rPr>
              <w:t>Mobile Minutes</w:t>
            </w:r>
            <w:r w:rsidR="00B26241">
              <w:rPr>
                <w:noProof/>
                <w:webHidden/>
              </w:rPr>
              <w:tab/>
            </w:r>
            <w:r w:rsidR="00B26241">
              <w:rPr>
                <w:noProof/>
                <w:webHidden/>
              </w:rPr>
              <w:fldChar w:fldCharType="begin"/>
            </w:r>
            <w:r w:rsidR="00B26241">
              <w:rPr>
                <w:noProof/>
                <w:webHidden/>
              </w:rPr>
              <w:instrText xml:space="preserve"> PAGEREF _Toc7797969 \h </w:instrText>
            </w:r>
            <w:r w:rsidR="00B26241">
              <w:rPr>
                <w:noProof/>
                <w:webHidden/>
              </w:rPr>
            </w:r>
            <w:r w:rsidR="00B26241">
              <w:rPr>
                <w:noProof/>
                <w:webHidden/>
              </w:rPr>
              <w:fldChar w:fldCharType="separate"/>
            </w:r>
            <w:r w:rsidR="00B26241">
              <w:rPr>
                <w:noProof/>
                <w:webHidden/>
              </w:rPr>
              <w:t>12</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70" w:history="1">
            <w:r w:rsidR="00B26241" w:rsidRPr="0065552F">
              <w:rPr>
                <w:rStyle w:val="Hyperlink"/>
                <w:b/>
                <w:noProof/>
              </w:rPr>
              <w:t>Figure 7:</w:t>
            </w:r>
            <w:r w:rsidR="00B26241">
              <w:rPr>
                <w:rFonts w:eastAsiaTheme="minorEastAsia"/>
                <w:noProof/>
                <w:lang w:val="en-GB" w:eastAsia="en-GB"/>
              </w:rPr>
              <w:tab/>
            </w:r>
            <w:r w:rsidR="00B26241" w:rsidRPr="0065552F">
              <w:rPr>
                <w:rStyle w:val="Hyperlink"/>
                <w:b/>
                <w:noProof/>
              </w:rPr>
              <w:t>Mobile Services Revenue Distribution</w:t>
            </w:r>
            <w:r w:rsidR="00B26241">
              <w:rPr>
                <w:noProof/>
                <w:webHidden/>
              </w:rPr>
              <w:tab/>
            </w:r>
            <w:r w:rsidR="00B26241">
              <w:rPr>
                <w:noProof/>
                <w:webHidden/>
              </w:rPr>
              <w:fldChar w:fldCharType="begin"/>
            </w:r>
            <w:r w:rsidR="00B26241">
              <w:rPr>
                <w:noProof/>
                <w:webHidden/>
              </w:rPr>
              <w:instrText xml:space="preserve"> PAGEREF _Toc7797970 \h </w:instrText>
            </w:r>
            <w:r w:rsidR="00B26241">
              <w:rPr>
                <w:noProof/>
                <w:webHidden/>
              </w:rPr>
            </w:r>
            <w:r w:rsidR="00B26241">
              <w:rPr>
                <w:noProof/>
                <w:webHidden/>
              </w:rPr>
              <w:fldChar w:fldCharType="separate"/>
            </w:r>
            <w:r w:rsidR="00B26241">
              <w:rPr>
                <w:noProof/>
                <w:webHidden/>
              </w:rPr>
              <w:t>13</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71" w:history="1">
            <w:r w:rsidR="00B26241" w:rsidRPr="0065552F">
              <w:rPr>
                <w:rStyle w:val="Hyperlink"/>
                <w:b/>
                <w:noProof/>
              </w:rPr>
              <w:t>Figure 8:</w:t>
            </w:r>
            <w:r w:rsidR="00B26241">
              <w:rPr>
                <w:rFonts w:eastAsiaTheme="minorEastAsia"/>
                <w:noProof/>
                <w:lang w:val="en-GB" w:eastAsia="en-GB"/>
              </w:rPr>
              <w:tab/>
            </w:r>
            <w:r w:rsidR="00B26241" w:rsidRPr="0065552F">
              <w:rPr>
                <w:rStyle w:val="Hyperlink"/>
                <w:b/>
                <w:noProof/>
              </w:rPr>
              <w:t>Mobile Services Average Revenue per User (ARPU)</w:t>
            </w:r>
            <w:r w:rsidR="00B26241">
              <w:rPr>
                <w:noProof/>
                <w:webHidden/>
              </w:rPr>
              <w:tab/>
            </w:r>
            <w:r w:rsidR="00B26241">
              <w:rPr>
                <w:noProof/>
                <w:webHidden/>
              </w:rPr>
              <w:fldChar w:fldCharType="begin"/>
            </w:r>
            <w:r w:rsidR="00B26241">
              <w:rPr>
                <w:noProof/>
                <w:webHidden/>
              </w:rPr>
              <w:instrText xml:space="preserve"> PAGEREF _Toc7797971 \h </w:instrText>
            </w:r>
            <w:r w:rsidR="00B26241">
              <w:rPr>
                <w:noProof/>
                <w:webHidden/>
              </w:rPr>
            </w:r>
            <w:r w:rsidR="00B26241">
              <w:rPr>
                <w:noProof/>
                <w:webHidden/>
              </w:rPr>
              <w:fldChar w:fldCharType="separate"/>
            </w:r>
            <w:r w:rsidR="00B26241">
              <w:rPr>
                <w:noProof/>
                <w:webHidden/>
              </w:rPr>
              <w:t>14</w:t>
            </w:r>
            <w:r w:rsidR="00B26241">
              <w:rPr>
                <w:noProof/>
                <w:webHidden/>
              </w:rPr>
              <w:fldChar w:fldCharType="end"/>
            </w:r>
          </w:hyperlink>
        </w:p>
        <w:p w:rsidR="00B26241" w:rsidRDefault="00E81B3B">
          <w:pPr>
            <w:pStyle w:val="TOC1"/>
            <w:tabs>
              <w:tab w:val="right" w:leader="dot" w:pos="12950"/>
            </w:tabs>
            <w:rPr>
              <w:rFonts w:eastAsiaTheme="minorEastAsia"/>
              <w:noProof/>
              <w:lang w:val="en-GB" w:eastAsia="en-GB"/>
            </w:rPr>
          </w:pPr>
          <w:hyperlink w:anchor="_Toc7797972" w:history="1">
            <w:r w:rsidR="00B26241" w:rsidRPr="0065552F">
              <w:rPr>
                <w:rStyle w:val="Hyperlink"/>
                <w:b/>
                <w:noProof/>
              </w:rPr>
              <w:t>Internet Market Data</w:t>
            </w:r>
            <w:r w:rsidR="00B26241">
              <w:rPr>
                <w:noProof/>
                <w:webHidden/>
              </w:rPr>
              <w:tab/>
            </w:r>
            <w:r w:rsidR="00B26241">
              <w:rPr>
                <w:noProof/>
                <w:webHidden/>
              </w:rPr>
              <w:fldChar w:fldCharType="begin"/>
            </w:r>
            <w:r w:rsidR="00B26241">
              <w:rPr>
                <w:noProof/>
                <w:webHidden/>
              </w:rPr>
              <w:instrText xml:space="preserve"> PAGEREF _Toc7797972 \h </w:instrText>
            </w:r>
            <w:r w:rsidR="00B26241">
              <w:rPr>
                <w:noProof/>
                <w:webHidden/>
              </w:rPr>
            </w:r>
            <w:r w:rsidR="00B26241">
              <w:rPr>
                <w:noProof/>
                <w:webHidden/>
              </w:rPr>
              <w:fldChar w:fldCharType="separate"/>
            </w:r>
            <w:r w:rsidR="00B26241">
              <w:rPr>
                <w:noProof/>
                <w:webHidden/>
              </w:rPr>
              <w:t>15</w:t>
            </w:r>
            <w:r w:rsidR="00B26241">
              <w:rPr>
                <w:noProof/>
                <w:webHidden/>
              </w:rPr>
              <w:fldChar w:fldCharType="end"/>
            </w:r>
          </w:hyperlink>
        </w:p>
        <w:p w:rsidR="00B26241" w:rsidRDefault="00E81B3B">
          <w:pPr>
            <w:pStyle w:val="TOC2"/>
            <w:tabs>
              <w:tab w:val="left" w:pos="1320"/>
              <w:tab w:val="right" w:leader="dot" w:pos="12950"/>
            </w:tabs>
            <w:rPr>
              <w:rFonts w:eastAsiaTheme="minorEastAsia"/>
              <w:noProof/>
              <w:lang w:val="en-GB" w:eastAsia="en-GB"/>
            </w:rPr>
          </w:pPr>
          <w:hyperlink w:anchor="_Toc7797973" w:history="1">
            <w:r w:rsidR="00B26241" w:rsidRPr="0065552F">
              <w:rPr>
                <w:rStyle w:val="Hyperlink"/>
                <w:b/>
                <w:noProof/>
              </w:rPr>
              <w:t>Figure 9:</w:t>
            </w:r>
            <w:r w:rsidR="00B26241">
              <w:rPr>
                <w:rFonts w:eastAsiaTheme="minorEastAsia"/>
                <w:noProof/>
                <w:lang w:val="en-GB" w:eastAsia="en-GB"/>
              </w:rPr>
              <w:tab/>
            </w:r>
            <w:r w:rsidR="00B26241" w:rsidRPr="0065552F">
              <w:rPr>
                <w:rStyle w:val="Hyperlink"/>
                <w:b/>
                <w:noProof/>
              </w:rPr>
              <w:t>Internet Services Subscriptions</w:t>
            </w:r>
            <w:r w:rsidR="00B26241">
              <w:rPr>
                <w:noProof/>
                <w:webHidden/>
              </w:rPr>
              <w:tab/>
            </w:r>
            <w:r w:rsidR="00B26241">
              <w:rPr>
                <w:noProof/>
                <w:webHidden/>
              </w:rPr>
              <w:fldChar w:fldCharType="begin"/>
            </w:r>
            <w:r w:rsidR="00B26241">
              <w:rPr>
                <w:noProof/>
                <w:webHidden/>
              </w:rPr>
              <w:instrText xml:space="preserve"> PAGEREF _Toc7797973 \h </w:instrText>
            </w:r>
            <w:r w:rsidR="00B26241">
              <w:rPr>
                <w:noProof/>
                <w:webHidden/>
              </w:rPr>
            </w:r>
            <w:r w:rsidR="00B26241">
              <w:rPr>
                <w:noProof/>
                <w:webHidden/>
              </w:rPr>
              <w:fldChar w:fldCharType="separate"/>
            </w:r>
            <w:r w:rsidR="00B26241">
              <w:rPr>
                <w:noProof/>
                <w:webHidden/>
              </w:rPr>
              <w:t>16</w:t>
            </w:r>
            <w:r w:rsidR="00B26241">
              <w:rPr>
                <w:noProof/>
                <w:webHidden/>
              </w:rPr>
              <w:fldChar w:fldCharType="end"/>
            </w:r>
          </w:hyperlink>
        </w:p>
        <w:p w:rsidR="00B26241" w:rsidRDefault="00E81B3B">
          <w:pPr>
            <w:pStyle w:val="TOC1"/>
            <w:tabs>
              <w:tab w:val="right" w:leader="dot" w:pos="12950"/>
            </w:tabs>
            <w:rPr>
              <w:rFonts w:eastAsiaTheme="minorEastAsia"/>
              <w:noProof/>
              <w:lang w:val="en-GB" w:eastAsia="en-GB"/>
            </w:rPr>
          </w:pPr>
          <w:hyperlink w:anchor="_Toc7797974" w:history="1">
            <w:r w:rsidR="00B26241" w:rsidRPr="0065552F">
              <w:rPr>
                <w:rStyle w:val="Hyperlink"/>
                <w:b/>
                <w:noProof/>
              </w:rPr>
              <w:t>Industry Penetration and Concentration</w:t>
            </w:r>
            <w:r w:rsidR="00B26241">
              <w:rPr>
                <w:noProof/>
                <w:webHidden/>
              </w:rPr>
              <w:tab/>
            </w:r>
            <w:r w:rsidR="00B26241">
              <w:rPr>
                <w:noProof/>
                <w:webHidden/>
              </w:rPr>
              <w:fldChar w:fldCharType="begin"/>
            </w:r>
            <w:r w:rsidR="00B26241">
              <w:rPr>
                <w:noProof/>
                <w:webHidden/>
              </w:rPr>
              <w:instrText xml:space="preserve"> PAGEREF _Toc7797974 \h </w:instrText>
            </w:r>
            <w:r w:rsidR="00B26241">
              <w:rPr>
                <w:noProof/>
                <w:webHidden/>
              </w:rPr>
            </w:r>
            <w:r w:rsidR="00B26241">
              <w:rPr>
                <w:noProof/>
                <w:webHidden/>
              </w:rPr>
              <w:fldChar w:fldCharType="separate"/>
            </w:r>
            <w:r w:rsidR="00B26241">
              <w:rPr>
                <w:noProof/>
                <w:webHidden/>
              </w:rPr>
              <w:t>17</w:t>
            </w:r>
            <w:r w:rsidR="00B26241">
              <w:rPr>
                <w:noProof/>
                <w:webHidden/>
              </w:rPr>
              <w:fldChar w:fldCharType="end"/>
            </w:r>
          </w:hyperlink>
        </w:p>
        <w:p w:rsidR="00B26241" w:rsidRDefault="00E81B3B">
          <w:pPr>
            <w:pStyle w:val="TOC2"/>
            <w:tabs>
              <w:tab w:val="right" w:leader="dot" w:pos="12950"/>
            </w:tabs>
            <w:rPr>
              <w:rFonts w:eastAsiaTheme="minorEastAsia"/>
              <w:noProof/>
              <w:lang w:val="en-GB" w:eastAsia="en-GB"/>
            </w:rPr>
          </w:pPr>
          <w:hyperlink w:anchor="_Toc7797975" w:history="1">
            <w:r w:rsidR="00B26241" w:rsidRPr="0065552F">
              <w:rPr>
                <w:rStyle w:val="Hyperlink"/>
                <w:b/>
                <w:noProof/>
              </w:rPr>
              <w:t>Penetration Rate</w:t>
            </w:r>
            <w:r w:rsidR="00B26241">
              <w:rPr>
                <w:noProof/>
                <w:webHidden/>
              </w:rPr>
              <w:tab/>
            </w:r>
            <w:r w:rsidR="00B26241">
              <w:rPr>
                <w:noProof/>
                <w:webHidden/>
              </w:rPr>
              <w:fldChar w:fldCharType="begin"/>
            </w:r>
            <w:r w:rsidR="00B26241">
              <w:rPr>
                <w:noProof/>
                <w:webHidden/>
              </w:rPr>
              <w:instrText xml:space="preserve"> PAGEREF _Toc7797975 \h </w:instrText>
            </w:r>
            <w:r w:rsidR="00B26241">
              <w:rPr>
                <w:noProof/>
                <w:webHidden/>
              </w:rPr>
            </w:r>
            <w:r w:rsidR="00B26241">
              <w:rPr>
                <w:noProof/>
                <w:webHidden/>
              </w:rPr>
              <w:fldChar w:fldCharType="separate"/>
            </w:r>
            <w:r w:rsidR="00B26241">
              <w:rPr>
                <w:noProof/>
                <w:webHidden/>
              </w:rPr>
              <w:t>18</w:t>
            </w:r>
            <w:r w:rsidR="00B26241">
              <w:rPr>
                <w:noProof/>
                <w:webHidden/>
              </w:rPr>
              <w:fldChar w:fldCharType="end"/>
            </w:r>
          </w:hyperlink>
        </w:p>
        <w:p w:rsidR="00B26241" w:rsidRDefault="00E81B3B">
          <w:pPr>
            <w:pStyle w:val="TOC2"/>
            <w:tabs>
              <w:tab w:val="right" w:leader="dot" w:pos="12950"/>
            </w:tabs>
            <w:rPr>
              <w:rFonts w:eastAsiaTheme="minorEastAsia"/>
              <w:noProof/>
              <w:lang w:val="en-GB" w:eastAsia="en-GB"/>
            </w:rPr>
          </w:pPr>
          <w:hyperlink w:anchor="_Toc7797976" w:history="1">
            <w:r w:rsidR="00B26241" w:rsidRPr="0065552F">
              <w:rPr>
                <w:rStyle w:val="Hyperlink"/>
                <w:b/>
                <w:noProof/>
              </w:rPr>
              <w:t>Concentration Ratio (Herfindahl-Hirschman Index)</w:t>
            </w:r>
            <w:r w:rsidR="00B26241">
              <w:rPr>
                <w:noProof/>
                <w:webHidden/>
              </w:rPr>
              <w:tab/>
            </w:r>
            <w:r w:rsidR="00B26241">
              <w:rPr>
                <w:noProof/>
                <w:webHidden/>
              </w:rPr>
              <w:fldChar w:fldCharType="begin"/>
            </w:r>
            <w:r w:rsidR="00B26241">
              <w:rPr>
                <w:noProof/>
                <w:webHidden/>
              </w:rPr>
              <w:instrText xml:space="preserve"> PAGEREF _Toc7797976 \h </w:instrText>
            </w:r>
            <w:r w:rsidR="00B26241">
              <w:rPr>
                <w:noProof/>
                <w:webHidden/>
              </w:rPr>
            </w:r>
            <w:r w:rsidR="00B26241">
              <w:rPr>
                <w:noProof/>
                <w:webHidden/>
              </w:rPr>
              <w:fldChar w:fldCharType="separate"/>
            </w:r>
            <w:r w:rsidR="00B26241">
              <w:rPr>
                <w:noProof/>
                <w:webHidden/>
              </w:rPr>
              <w:t>18</w:t>
            </w:r>
            <w:r w:rsidR="00B26241">
              <w:rPr>
                <w:noProof/>
                <w:webHidden/>
              </w:rPr>
              <w:fldChar w:fldCharType="end"/>
            </w:r>
          </w:hyperlink>
        </w:p>
        <w:p w:rsidR="00B26241" w:rsidRDefault="00E81B3B">
          <w:pPr>
            <w:pStyle w:val="TOC1"/>
            <w:tabs>
              <w:tab w:val="right" w:leader="dot" w:pos="12950"/>
            </w:tabs>
            <w:rPr>
              <w:rFonts w:eastAsiaTheme="minorEastAsia"/>
              <w:noProof/>
              <w:lang w:val="en-GB" w:eastAsia="en-GB"/>
            </w:rPr>
          </w:pPr>
          <w:hyperlink w:anchor="_Toc7797977" w:history="1">
            <w:r w:rsidR="00B26241" w:rsidRPr="0065552F">
              <w:rPr>
                <w:rStyle w:val="Hyperlink"/>
                <w:b/>
                <w:noProof/>
              </w:rPr>
              <w:t>Appendix</w:t>
            </w:r>
            <w:r w:rsidR="00B26241">
              <w:rPr>
                <w:noProof/>
                <w:webHidden/>
              </w:rPr>
              <w:tab/>
            </w:r>
            <w:r w:rsidR="00B26241">
              <w:rPr>
                <w:noProof/>
                <w:webHidden/>
              </w:rPr>
              <w:fldChar w:fldCharType="begin"/>
            </w:r>
            <w:r w:rsidR="00B26241">
              <w:rPr>
                <w:noProof/>
                <w:webHidden/>
              </w:rPr>
              <w:instrText xml:space="preserve"> PAGEREF _Toc7797977 \h </w:instrText>
            </w:r>
            <w:r w:rsidR="00B26241">
              <w:rPr>
                <w:noProof/>
                <w:webHidden/>
              </w:rPr>
            </w:r>
            <w:r w:rsidR="00B26241">
              <w:rPr>
                <w:noProof/>
                <w:webHidden/>
              </w:rPr>
              <w:fldChar w:fldCharType="separate"/>
            </w:r>
            <w:r w:rsidR="00B26241">
              <w:rPr>
                <w:noProof/>
                <w:webHidden/>
              </w:rPr>
              <w:t>19</w:t>
            </w:r>
            <w:r w:rsidR="00B26241">
              <w:rPr>
                <w:noProof/>
                <w:webHidden/>
              </w:rPr>
              <w:fldChar w:fldCharType="end"/>
            </w:r>
          </w:hyperlink>
        </w:p>
        <w:p w:rsidR="002C2B20" w:rsidRDefault="002C2B20">
          <w:r>
            <w:rPr>
              <w:b/>
              <w:bCs/>
              <w:noProof/>
            </w:rPr>
            <w:fldChar w:fldCharType="end"/>
          </w:r>
        </w:p>
      </w:sdtContent>
    </w:sdt>
    <w:p w:rsidR="00F51298" w:rsidRDefault="00F51298"/>
    <w:p w:rsidR="00F51298" w:rsidRDefault="00F51298"/>
    <w:p w:rsidR="00F51298" w:rsidRDefault="00F51298"/>
    <w:p w:rsidR="00F51298" w:rsidRDefault="00F51298"/>
    <w:p w:rsidR="00F51298" w:rsidRDefault="00F51298"/>
    <w:p w:rsidR="00F51298" w:rsidRDefault="00F51298"/>
    <w:p w:rsidR="00F51298" w:rsidRDefault="00F51298"/>
    <w:p w:rsidR="00F51298" w:rsidRDefault="00F51298"/>
    <w:p w:rsidR="00F51298" w:rsidRDefault="00F51298"/>
    <w:p w:rsidR="00F51298" w:rsidRPr="002C2B20" w:rsidRDefault="00234C65" w:rsidP="00067399">
      <w:pPr>
        <w:pStyle w:val="Heading1"/>
        <w:jc w:val="center"/>
        <w:rPr>
          <w:b/>
          <w:sz w:val="96"/>
          <w:szCs w:val="96"/>
        </w:rPr>
      </w:pPr>
      <w:bookmarkStart w:id="0" w:name="_Toc433193278"/>
      <w:bookmarkStart w:id="1" w:name="_Toc7797962"/>
      <w:r>
        <w:rPr>
          <w:b/>
          <w:sz w:val="96"/>
          <w:szCs w:val="96"/>
        </w:rPr>
        <w:t xml:space="preserve">Fixed Market </w:t>
      </w:r>
      <w:r w:rsidR="00F51298" w:rsidRPr="002C2B20">
        <w:rPr>
          <w:b/>
          <w:sz w:val="96"/>
          <w:szCs w:val="96"/>
        </w:rPr>
        <w:t>Data</w:t>
      </w:r>
      <w:bookmarkEnd w:id="0"/>
      <w:r w:rsidR="00765D09">
        <w:rPr>
          <w:rStyle w:val="FootnoteReference"/>
          <w:b/>
          <w:sz w:val="96"/>
          <w:szCs w:val="96"/>
        </w:rPr>
        <w:footnoteReference w:id="1"/>
      </w:r>
      <w:bookmarkEnd w:id="1"/>
    </w:p>
    <w:p w:rsidR="00F51298" w:rsidRDefault="00F51298"/>
    <w:p w:rsidR="00F51298" w:rsidRDefault="00F51298"/>
    <w:p w:rsidR="00F51298" w:rsidRDefault="00F51298"/>
    <w:p w:rsidR="0099607C" w:rsidRDefault="0099607C">
      <w:pPr>
        <w:rPr>
          <w:b/>
          <w:sz w:val="28"/>
          <w:szCs w:val="28"/>
          <w:u w:val="single"/>
        </w:rPr>
      </w:pPr>
    </w:p>
    <w:p w:rsidR="00765D09" w:rsidRDefault="00765D09">
      <w:pPr>
        <w:rPr>
          <w:b/>
          <w:sz w:val="28"/>
          <w:szCs w:val="28"/>
          <w:u w:val="single"/>
        </w:rPr>
      </w:pPr>
    </w:p>
    <w:p w:rsidR="00765D09" w:rsidRDefault="00765D09"/>
    <w:p w:rsidR="0099607C" w:rsidRDefault="0099607C"/>
    <w:p w:rsidR="00F51298" w:rsidRPr="00067399" w:rsidRDefault="00F51298" w:rsidP="00067399">
      <w:pPr>
        <w:pStyle w:val="Heading2"/>
        <w:rPr>
          <w:b/>
        </w:rPr>
      </w:pPr>
      <w:bookmarkStart w:id="2" w:name="_Toc7797963"/>
      <w:r w:rsidRPr="00067399">
        <w:rPr>
          <w:b/>
        </w:rPr>
        <w:t>Figure 1</w:t>
      </w:r>
      <w:r w:rsidR="00484BE7">
        <w:rPr>
          <w:b/>
        </w:rPr>
        <w:t>:</w:t>
      </w:r>
      <w:r w:rsidRPr="00067399">
        <w:rPr>
          <w:b/>
        </w:rPr>
        <w:tab/>
        <w:t>Fixed Services Subscriptions</w:t>
      </w:r>
      <w:bookmarkEnd w:id="2"/>
    </w:p>
    <w:p w:rsidR="00F51298" w:rsidRDefault="00F51298"/>
    <w:p w:rsidR="00191CD1" w:rsidRDefault="00AE30BF">
      <w:pPr>
        <w:rPr>
          <w:noProof/>
          <w:lang w:val="en-US"/>
        </w:rPr>
      </w:pPr>
      <w:r>
        <w:rPr>
          <w:noProof/>
          <w:lang w:val="en-GB" w:eastAsia="en-GB"/>
        </w:rPr>
        <mc:AlternateContent>
          <mc:Choice Requires="wps">
            <w:drawing>
              <wp:anchor distT="0" distB="0" distL="114300" distR="114300" simplePos="0" relativeHeight="251659264" behindDoc="0" locked="0" layoutInCell="1" allowOverlap="1" wp14:anchorId="67951717" wp14:editId="5F816D68">
                <wp:simplePos x="0" y="0"/>
                <wp:positionH relativeFrom="column">
                  <wp:posOffset>6486525</wp:posOffset>
                </wp:positionH>
                <wp:positionV relativeFrom="paragraph">
                  <wp:posOffset>144145</wp:posOffset>
                </wp:positionV>
                <wp:extent cx="1781175" cy="1571625"/>
                <wp:effectExtent l="133350" t="133350" r="142875" b="161925"/>
                <wp:wrapNone/>
                <wp:docPr id="2" name="Text Box 2"/>
                <wp:cNvGraphicFramePr/>
                <a:graphic xmlns:a="http://schemas.openxmlformats.org/drawingml/2006/main">
                  <a:graphicData uri="http://schemas.microsoft.com/office/word/2010/wordprocessingShape">
                    <wps:wsp>
                      <wps:cNvSpPr txBox="1"/>
                      <wps:spPr>
                        <a:xfrm>
                          <a:off x="0" y="0"/>
                          <a:ext cx="1781175" cy="157162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496067" w:rsidRDefault="00E81B3B">
                            <w:pPr>
                              <w:rPr>
                                <w:b/>
                                <w:u w:val="single"/>
                              </w:rPr>
                            </w:pPr>
                            <w:r>
                              <w:rPr>
                                <w:b/>
                                <w:u w:val="single"/>
                              </w:rPr>
                              <w:t>% Change: Q4 ‘18/ Q3 ‘18</w:t>
                            </w:r>
                          </w:p>
                          <w:p w:rsidR="00E81B3B" w:rsidRPr="00516AE7" w:rsidRDefault="00E81B3B">
                            <w:pPr>
                              <w:rPr>
                                <w:sz w:val="20"/>
                                <w:szCs w:val="20"/>
                              </w:rPr>
                            </w:pPr>
                            <w:r w:rsidRPr="00516AE7">
                              <w:rPr>
                                <w:sz w:val="20"/>
                                <w:szCs w:val="20"/>
                              </w:rPr>
                              <w:t>Total Subscriptions:</w:t>
                            </w:r>
                            <w:r>
                              <w:rPr>
                                <w:sz w:val="20"/>
                                <w:szCs w:val="20"/>
                              </w:rPr>
                              <w:t xml:space="preserve">   - 0.06</w:t>
                            </w:r>
                            <w:r w:rsidRPr="00516AE7">
                              <w:rPr>
                                <w:sz w:val="20"/>
                                <w:szCs w:val="20"/>
                              </w:rPr>
                              <w:t>%</w:t>
                            </w:r>
                          </w:p>
                          <w:p w:rsidR="00E81B3B" w:rsidRPr="00516AE7" w:rsidRDefault="00E81B3B">
                            <w:pPr>
                              <w:rPr>
                                <w:sz w:val="20"/>
                                <w:szCs w:val="20"/>
                              </w:rPr>
                            </w:pPr>
                            <w:r w:rsidRPr="00516AE7">
                              <w:rPr>
                                <w:sz w:val="20"/>
                                <w:szCs w:val="20"/>
                              </w:rPr>
                              <w:t>Residential:</w:t>
                            </w:r>
                            <w:r>
                              <w:rPr>
                                <w:sz w:val="20"/>
                                <w:szCs w:val="20"/>
                              </w:rPr>
                              <w:t xml:space="preserve">                    0.34</w:t>
                            </w:r>
                            <w:r w:rsidRPr="00516AE7">
                              <w:rPr>
                                <w:sz w:val="20"/>
                                <w:szCs w:val="20"/>
                              </w:rPr>
                              <w:t>%</w:t>
                            </w:r>
                          </w:p>
                          <w:p w:rsidR="00E81B3B" w:rsidRPr="00516AE7" w:rsidRDefault="00E81B3B">
                            <w:pPr>
                              <w:rPr>
                                <w:sz w:val="20"/>
                                <w:szCs w:val="20"/>
                              </w:rPr>
                            </w:pPr>
                            <w:r w:rsidRPr="00516AE7">
                              <w:rPr>
                                <w:sz w:val="20"/>
                                <w:szCs w:val="20"/>
                              </w:rPr>
                              <w:t xml:space="preserve">Business: </w:t>
                            </w:r>
                            <w:r>
                              <w:rPr>
                                <w:sz w:val="20"/>
                                <w:szCs w:val="20"/>
                              </w:rPr>
                              <w:t xml:space="preserve">                      -1.66</w:t>
                            </w:r>
                            <w:r w:rsidRPr="00516AE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1717" id="_x0000_s1028" type="#_x0000_t202" style="position:absolute;margin-left:510.75pt;margin-top:11.35pt;width:140.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" fillcolor="white [3201]" stroked="f" strokeweight=".5pt">
                <v:shadow on="t" color="black" offset="0,1pt"/>
                <v:textbox>
                  <w:txbxContent>
                    <w:p w:rsidR="00E81B3B" w:rsidRPr="00496067" w:rsidRDefault="00E81B3B">
                      <w:pPr>
                        <w:rPr>
                          <w:b/>
                          <w:u w:val="single"/>
                        </w:rPr>
                      </w:pPr>
                      <w:r>
                        <w:rPr>
                          <w:b/>
                          <w:u w:val="single"/>
                        </w:rPr>
                        <w:t>% Change: Q4 ‘18/ Q3 ‘18</w:t>
                      </w:r>
                    </w:p>
                    <w:p w:rsidR="00E81B3B" w:rsidRPr="00516AE7" w:rsidRDefault="00E81B3B">
                      <w:pPr>
                        <w:rPr>
                          <w:sz w:val="20"/>
                          <w:szCs w:val="20"/>
                        </w:rPr>
                      </w:pPr>
                      <w:r w:rsidRPr="00516AE7">
                        <w:rPr>
                          <w:sz w:val="20"/>
                          <w:szCs w:val="20"/>
                        </w:rPr>
                        <w:t>Total Subscriptions:</w:t>
                      </w:r>
                      <w:r>
                        <w:rPr>
                          <w:sz w:val="20"/>
                          <w:szCs w:val="20"/>
                        </w:rPr>
                        <w:t xml:space="preserve">   - 0.06</w:t>
                      </w:r>
                      <w:r w:rsidRPr="00516AE7">
                        <w:rPr>
                          <w:sz w:val="20"/>
                          <w:szCs w:val="20"/>
                        </w:rPr>
                        <w:t>%</w:t>
                      </w:r>
                    </w:p>
                    <w:p w:rsidR="00E81B3B" w:rsidRPr="00516AE7" w:rsidRDefault="00E81B3B">
                      <w:pPr>
                        <w:rPr>
                          <w:sz w:val="20"/>
                          <w:szCs w:val="20"/>
                        </w:rPr>
                      </w:pPr>
                      <w:r w:rsidRPr="00516AE7">
                        <w:rPr>
                          <w:sz w:val="20"/>
                          <w:szCs w:val="20"/>
                        </w:rPr>
                        <w:t>Residential:</w:t>
                      </w:r>
                      <w:r>
                        <w:rPr>
                          <w:sz w:val="20"/>
                          <w:szCs w:val="20"/>
                        </w:rPr>
                        <w:t xml:space="preserve">                    0.34</w:t>
                      </w:r>
                      <w:r w:rsidRPr="00516AE7">
                        <w:rPr>
                          <w:sz w:val="20"/>
                          <w:szCs w:val="20"/>
                        </w:rPr>
                        <w:t>%</w:t>
                      </w:r>
                    </w:p>
                    <w:p w:rsidR="00E81B3B" w:rsidRPr="00516AE7" w:rsidRDefault="00E81B3B">
                      <w:pPr>
                        <w:rPr>
                          <w:sz w:val="20"/>
                          <w:szCs w:val="20"/>
                        </w:rPr>
                      </w:pPr>
                      <w:r w:rsidRPr="00516AE7">
                        <w:rPr>
                          <w:sz w:val="20"/>
                          <w:szCs w:val="20"/>
                        </w:rPr>
                        <w:t xml:space="preserve">Business: </w:t>
                      </w:r>
                      <w:r>
                        <w:rPr>
                          <w:sz w:val="20"/>
                          <w:szCs w:val="20"/>
                        </w:rPr>
                        <w:t xml:space="preserve">                      -1.66</w:t>
                      </w:r>
                      <w:r w:rsidRPr="00516AE7">
                        <w:rPr>
                          <w:sz w:val="20"/>
                          <w:szCs w:val="20"/>
                        </w:rPr>
                        <w:t>%</w:t>
                      </w:r>
                    </w:p>
                  </w:txbxContent>
                </v:textbox>
              </v:shape>
            </w:pict>
          </mc:Fallback>
        </mc:AlternateContent>
      </w:r>
      <w:r w:rsidR="001C5013">
        <w:rPr>
          <w:noProof/>
          <w:lang w:val="en-US"/>
        </w:rPr>
        <w:t xml:space="preserve"> </w:t>
      </w:r>
      <w:r w:rsidR="009809BD">
        <w:rPr>
          <w:noProof/>
          <w:lang w:val="en-GB" w:eastAsia="en-GB"/>
        </w:rPr>
        <w:drawing>
          <wp:inline distT="0" distB="0" distL="0" distR="0" wp14:anchorId="625263A9" wp14:editId="0DC63120">
            <wp:extent cx="6286500" cy="39719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5152" w:rsidRDefault="00785152">
      <w:pPr>
        <w:rPr>
          <w:noProof/>
          <w:lang w:val="en-US"/>
        </w:rPr>
      </w:pPr>
    </w:p>
    <w:p w:rsidR="006E40AD" w:rsidRDefault="006E40AD">
      <w:pPr>
        <w:rPr>
          <w:noProof/>
          <w:lang w:val="en-US"/>
        </w:rPr>
      </w:pPr>
    </w:p>
    <w:p w:rsidR="00D73240" w:rsidRDefault="00D73240">
      <w:pPr>
        <w:rPr>
          <w:noProof/>
          <w:lang w:val="en-US"/>
        </w:rPr>
      </w:pPr>
    </w:p>
    <w:p w:rsidR="00212D14" w:rsidRDefault="00212D14" w:rsidP="00067399">
      <w:pPr>
        <w:pStyle w:val="Heading2"/>
        <w:rPr>
          <w:b/>
        </w:rPr>
      </w:pPr>
      <w:bookmarkStart w:id="3" w:name="_Toc7797964"/>
      <w:r w:rsidRPr="00067399">
        <w:rPr>
          <w:b/>
        </w:rPr>
        <w:t>Figure 2:</w:t>
      </w:r>
      <w:r w:rsidRPr="00067399">
        <w:rPr>
          <w:b/>
        </w:rPr>
        <w:tab/>
        <w:t>Fixed Call Minutes</w:t>
      </w:r>
      <w:bookmarkEnd w:id="3"/>
    </w:p>
    <w:p w:rsidR="00785152" w:rsidRDefault="00785152" w:rsidP="00785152"/>
    <w:p w:rsidR="00FB403C" w:rsidRPr="00785152" w:rsidRDefault="006700BD" w:rsidP="00785152">
      <w:r>
        <w:rPr>
          <w:noProof/>
          <w:lang w:val="en-GB" w:eastAsia="en-GB"/>
        </w:rPr>
        <mc:AlternateContent>
          <mc:Choice Requires="wps">
            <w:drawing>
              <wp:anchor distT="0" distB="0" distL="114300" distR="114300" simplePos="0" relativeHeight="251660288" behindDoc="0" locked="0" layoutInCell="1" allowOverlap="1" wp14:anchorId="3A1B3F73" wp14:editId="51B54A39">
                <wp:simplePos x="0" y="0"/>
                <wp:positionH relativeFrom="column">
                  <wp:posOffset>6762750</wp:posOffset>
                </wp:positionH>
                <wp:positionV relativeFrom="paragraph">
                  <wp:posOffset>125730</wp:posOffset>
                </wp:positionV>
                <wp:extent cx="1838325" cy="1771650"/>
                <wp:effectExtent l="133350" t="133350" r="142875" b="152400"/>
                <wp:wrapNone/>
                <wp:docPr id="4" name="Text Box 4"/>
                <wp:cNvGraphicFramePr/>
                <a:graphic xmlns:a="http://schemas.openxmlformats.org/drawingml/2006/main">
                  <a:graphicData uri="http://schemas.microsoft.com/office/word/2010/wordprocessingShape">
                    <wps:wsp>
                      <wps:cNvSpPr txBox="1"/>
                      <wps:spPr>
                        <a:xfrm>
                          <a:off x="0" y="0"/>
                          <a:ext cx="1838325" cy="177165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516AE7" w:rsidRDefault="00E81B3B">
                            <w:pPr>
                              <w:rPr>
                                <w:b/>
                                <w:u w:val="single"/>
                              </w:rPr>
                            </w:pPr>
                            <w:r>
                              <w:rPr>
                                <w:b/>
                                <w:u w:val="single"/>
                              </w:rPr>
                              <w:t>% change:  Q4 ‘18/Q3</w:t>
                            </w:r>
                            <w:r w:rsidRPr="00516AE7">
                              <w:rPr>
                                <w:b/>
                                <w:u w:val="single"/>
                              </w:rPr>
                              <w:t xml:space="preserve"> ‘1</w:t>
                            </w:r>
                            <w:r>
                              <w:rPr>
                                <w:b/>
                                <w:u w:val="single"/>
                              </w:rPr>
                              <w:t>8</w:t>
                            </w:r>
                          </w:p>
                          <w:p w:rsidR="00E81B3B" w:rsidRPr="00516AE7" w:rsidRDefault="00E81B3B">
                            <w:pPr>
                              <w:rPr>
                                <w:sz w:val="20"/>
                                <w:szCs w:val="20"/>
                              </w:rPr>
                            </w:pPr>
                            <w:r w:rsidRPr="00516AE7">
                              <w:rPr>
                                <w:sz w:val="20"/>
                                <w:szCs w:val="20"/>
                              </w:rPr>
                              <w:t xml:space="preserve">Fixed to Fixed: </w:t>
                            </w:r>
                            <w:r>
                              <w:rPr>
                                <w:sz w:val="20"/>
                                <w:szCs w:val="20"/>
                              </w:rPr>
                              <w:t xml:space="preserve">             - 9.76 </w:t>
                            </w:r>
                            <w:r w:rsidRPr="00516AE7">
                              <w:rPr>
                                <w:sz w:val="20"/>
                                <w:szCs w:val="20"/>
                              </w:rPr>
                              <w:t>%</w:t>
                            </w:r>
                          </w:p>
                          <w:p w:rsidR="00E81B3B" w:rsidRPr="00516AE7" w:rsidRDefault="00E81B3B">
                            <w:pPr>
                              <w:rPr>
                                <w:sz w:val="20"/>
                                <w:szCs w:val="20"/>
                              </w:rPr>
                            </w:pPr>
                            <w:r>
                              <w:rPr>
                                <w:sz w:val="20"/>
                                <w:szCs w:val="20"/>
                              </w:rPr>
                              <w:t xml:space="preserve">Fixed to Mobile:           - 6.36 </w:t>
                            </w:r>
                            <w:r w:rsidRPr="00516AE7">
                              <w:rPr>
                                <w:sz w:val="20"/>
                                <w:szCs w:val="20"/>
                              </w:rPr>
                              <w:t>%</w:t>
                            </w:r>
                          </w:p>
                          <w:p w:rsidR="00E81B3B" w:rsidRPr="00516AE7" w:rsidRDefault="00E81B3B">
                            <w:pPr>
                              <w:rPr>
                                <w:sz w:val="20"/>
                                <w:szCs w:val="20"/>
                              </w:rPr>
                            </w:pPr>
                            <w:r w:rsidRPr="00516AE7">
                              <w:rPr>
                                <w:sz w:val="20"/>
                                <w:szCs w:val="20"/>
                              </w:rPr>
                              <w:t>Total International:</w:t>
                            </w:r>
                            <w:r>
                              <w:rPr>
                                <w:sz w:val="20"/>
                                <w:szCs w:val="20"/>
                              </w:rPr>
                              <w:t xml:space="preserve">    - 12.88</w:t>
                            </w:r>
                            <w:r w:rsidRPr="00516AE7">
                              <w:rPr>
                                <w:sz w:val="20"/>
                                <w:szCs w:val="20"/>
                              </w:rPr>
                              <w:t>%</w:t>
                            </w:r>
                          </w:p>
                          <w:p w:rsidR="00E81B3B" w:rsidRPr="00516AE7" w:rsidRDefault="00E81B3B">
                            <w:pPr>
                              <w:rPr>
                                <w:sz w:val="20"/>
                                <w:szCs w:val="20"/>
                              </w:rPr>
                            </w:pPr>
                            <w:r w:rsidRPr="00516AE7">
                              <w:rPr>
                                <w:sz w:val="20"/>
                                <w:szCs w:val="20"/>
                              </w:rPr>
                              <w:t xml:space="preserve">Int’l - Outgoing: </w:t>
                            </w:r>
                            <w:r>
                              <w:rPr>
                                <w:sz w:val="20"/>
                                <w:szCs w:val="20"/>
                              </w:rPr>
                              <w:t xml:space="preserve">            - 8.23%</w:t>
                            </w:r>
                          </w:p>
                          <w:p w:rsidR="00E81B3B" w:rsidRPr="00516AE7" w:rsidRDefault="00E81B3B">
                            <w:pPr>
                              <w:rPr>
                                <w:sz w:val="20"/>
                                <w:szCs w:val="20"/>
                              </w:rPr>
                            </w:pPr>
                            <w:r>
                              <w:rPr>
                                <w:sz w:val="20"/>
                                <w:szCs w:val="20"/>
                              </w:rPr>
                              <w:t>Int’l - Incoming:          - 14.85</w:t>
                            </w:r>
                            <w:r w:rsidRPr="00516AE7">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B3F73" id="Text Box 4" o:spid="_x0000_s1029" type="#_x0000_t202" style="position:absolute;margin-left:532.5pt;margin-top:9.9pt;width:144.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" fillcolor="white [3201]" stroked="f" strokeweight=".5pt">
                <v:shadow on="t" color="black" offset="0,1pt"/>
                <v:textbox>
                  <w:txbxContent>
                    <w:p w:rsidR="00E81B3B" w:rsidRPr="00516AE7" w:rsidRDefault="00E81B3B">
                      <w:pPr>
                        <w:rPr>
                          <w:b/>
                          <w:u w:val="single"/>
                        </w:rPr>
                      </w:pPr>
                      <w:r>
                        <w:rPr>
                          <w:b/>
                          <w:u w:val="single"/>
                        </w:rPr>
                        <w:t>% change:  Q4 ‘18/Q3</w:t>
                      </w:r>
                      <w:r w:rsidRPr="00516AE7">
                        <w:rPr>
                          <w:b/>
                          <w:u w:val="single"/>
                        </w:rPr>
                        <w:t xml:space="preserve"> ‘1</w:t>
                      </w:r>
                      <w:r>
                        <w:rPr>
                          <w:b/>
                          <w:u w:val="single"/>
                        </w:rPr>
                        <w:t>8</w:t>
                      </w:r>
                    </w:p>
                    <w:p w:rsidR="00E81B3B" w:rsidRPr="00516AE7" w:rsidRDefault="00E81B3B">
                      <w:pPr>
                        <w:rPr>
                          <w:sz w:val="20"/>
                          <w:szCs w:val="20"/>
                        </w:rPr>
                      </w:pPr>
                      <w:r w:rsidRPr="00516AE7">
                        <w:rPr>
                          <w:sz w:val="20"/>
                          <w:szCs w:val="20"/>
                        </w:rPr>
                        <w:t xml:space="preserve">Fixed to Fixed: </w:t>
                      </w:r>
                      <w:r>
                        <w:rPr>
                          <w:sz w:val="20"/>
                          <w:szCs w:val="20"/>
                        </w:rPr>
                        <w:t xml:space="preserve">             - 9.76 </w:t>
                      </w:r>
                      <w:r w:rsidRPr="00516AE7">
                        <w:rPr>
                          <w:sz w:val="20"/>
                          <w:szCs w:val="20"/>
                        </w:rPr>
                        <w:t>%</w:t>
                      </w:r>
                    </w:p>
                    <w:p w:rsidR="00E81B3B" w:rsidRPr="00516AE7" w:rsidRDefault="00E81B3B">
                      <w:pPr>
                        <w:rPr>
                          <w:sz w:val="20"/>
                          <w:szCs w:val="20"/>
                        </w:rPr>
                      </w:pPr>
                      <w:r>
                        <w:rPr>
                          <w:sz w:val="20"/>
                          <w:szCs w:val="20"/>
                        </w:rPr>
                        <w:t xml:space="preserve">Fixed to Mobile:           - 6.36 </w:t>
                      </w:r>
                      <w:r w:rsidRPr="00516AE7">
                        <w:rPr>
                          <w:sz w:val="20"/>
                          <w:szCs w:val="20"/>
                        </w:rPr>
                        <w:t>%</w:t>
                      </w:r>
                    </w:p>
                    <w:p w:rsidR="00E81B3B" w:rsidRPr="00516AE7" w:rsidRDefault="00E81B3B">
                      <w:pPr>
                        <w:rPr>
                          <w:sz w:val="20"/>
                          <w:szCs w:val="20"/>
                        </w:rPr>
                      </w:pPr>
                      <w:r w:rsidRPr="00516AE7">
                        <w:rPr>
                          <w:sz w:val="20"/>
                          <w:szCs w:val="20"/>
                        </w:rPr>
                        <w:t>Total International:</w:t>
                      </w:r>
                      <w:r>
                        <w:rPr>
                          <w:sz w:val="20"/>
                          <w:szCs w:val="20"/>
                        </w:rPr>
                        <w:t xml:space="preserve">    - 12.88</w:t>
                      </w:r>
                      <w:r w:rsidRPr="00516AE7">
                        <w:rPr>
                          <w:sz w:val="20"/>
                          <w:szCs w:val="20"/>
                        </w:rPr>
                        <w:t>%</w:t>
                      </w:r>
                    </w:p>
                    <w:p w:rsidR="00E81B3B" w:rsidRPr="00516AE7" w:rsidRDefault="00E81B3B">
                      <w:pPr>
                        <w:rPr>
                          <w:sz w:val="20"/>
                          <w:szCs w:val="20"/>
                        </w:rPr>
                      </w:pPr>
                      <w:r w:rsidRPr="00516AE7">
                        <w:rPr>
                          <w:sz w:val="20"/>
                          <w:szCs w:val="20"/>
                        </w:rPr>
                        <w:t xml:space="preserve">Int’l - Outgoing: </w:t>
                      </w:r>
                      <w:r>
                        <w:rPr>
                          <w:sz w:val="20"/>
                          <w:szCs w:val="20"/>
                        </w:rPr>
                        <w:t xml:space="preserve">            - 8.23%</w:t>
                      </w:r>
                    </w:p>
                    <w:p w:rsidR="00E81B3B" w:rsidRPr="00516AE7" w:rsidRDefault="00E81B3B">
                      <w:pPr>
                        <w:rPr>
                          <w:sz w:val="20"/>
                          <w:szCs w:val="20"/>
                        </w:rPr>
                      </w:pPr>
                      <w:r>
                        <w:rPr>
                          <w:sz w:val="20"/>
                          <w:szCs w:val="20"/>
                        </w:rPr>
                        <w:t>Int’l - Incoming:          - 14.85</w:t>
                      </w:r>
                      <w:r w:rsidRPr="00516AE7">
                        <w:rPr>
                          <w:sz w:val="20"/>
                          <w:szCs w:val="20"/>
                        </w:rPr>
                        <w:t>%</w:t>
                      </w:r>
                    </w:p>
                  </w:txbxContent>
                </v:textbox>
              </v:shape>
            </w:pict>
          </mc:Fallback>
        </mc:AlternateContent>
      </w:r>
      <w:r>
        <w:rPr>
          <w:noProof/>
          <w:lang w:val="en-GB" w:eastAsia="en-GB"/>
        </w:rPr>
        <w:drawing>
          <wp:inline distT="0" distB="0" distL="0" distR="0" wp14:anchorId="7BC2D585" wp14:editId="7C864759">
            <wp:extent cx="6591300" cy="4572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7787" w:rsidRDefault="00697787">
      <w:pPr>
        <w:rPr>
          <w:noProof/>
          <w:lang w:val="en-US"/>
        </w:rPr>
      </w:pPr>
    </w:p>
    <w:p w:rsidR="00496067" w:rsidRPr="002C2B20" w:rsidRDefault="00516AE7" w:rsidP="002C2B20">
      <w:pPr>
        <w:pStyle w:val="Heading2"/>
        <w:rPr>
          <w:b/>
        </w:rPr>
      </w:pPr>
      <w:bookmarkStart w:id="4" w:name="_Toc7797965"/>
      <w:r w:rsidRPr="002C2B20">
        <w:rPr>
          <w:b/>
        </w:rPr>
        <w:t>Figure 3:</w:t>
      </w:r>
      <w:r w:rsidRPr="002C2B20">
        <w:rPr>
          <w:b/>
        </w:rPr>
        <w:tab/>
        <w:t>Fixed Call Revenue Distribution</w:t>
      </w:r>
      <w:bookmarkEnd w:id="4"/>
    </w:p>
    <w:p w:rsidR="00611981" w:rsidRDefault="00611981">
      <w:pPr>
        <w:rPr>
          <w:noProof/>
          <w:lang w:val="en-US"/>
        </w:rPr>
      </w:pPr>
    </w:p>
    <w:p w:rsidR="00AE30BF" w:rsidRDefault="00CC4646">
      <w:pPr>
        <w:rPr>
          <w:noProof/>
          <w:lang w:val="en-US"/>
        </w:rPr>
      </w:pPr>
      <w:r>
        <w:rPr>
          <w:noProof/>
          <w:lang w:val="en-GB" w:eastAsia="en-GB"/>
        </w:rPr>
        <mc:AlternateContent>
          <mc:Choice Requires="wps">
            <w:drawing>
              <wp:anchor distT="0" distB="0" distL="114300" distR="114300" simplePos="0" relativeHeight="251661312" behindDoc="0" locked="0" layoutInCell="1" allowOverlap="1" wp14:anchorId="003F194A" wp14:editId="58D474BC">
                <wp:simplePos x="0" y="0"/>
                <wp:positionH relativeFrom="column">
                  <wp:posOffset>6848474</wp:posOffset>
                </wp:positionH>
                <wp:positionV relativeFrom="paragraph">
                  <wp:posOffset>173355</wp:posOffset>
                </wp:positionV>
                <wp:extent cx="1800225" cy="1790700"/>
                <wp:effectExtent l="133350" t="114300" r="142875" b="152400"/>
                <wp:wrapNone/>
                <wp:docPr id="6" name="Text Box 6"/>
                <wp:cNvGraphicFramePr/>
                <a:graphic xmlns:a="http://schemas.openxmlformats.org/drawingml/2006/main">
                  <a:graphicData uri="http://schemas.microsoft.com/office/word/2010/wordprocessingShape">
                    <wps:wsp>
                      <wps:cNvSpPr txBox="1"/>
                      <wps:spPr>
                        <a:xfrm>
                          <a:off x="0" y="0"/>
                          <a:ext cx="1800225" cy="179070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627C61" w:rsidRDefault="00E81B3B">
                            <w:pPr>
                              <w:rPr>
                                <w:b/>
                                <w:u w:val="single"/>
                              </w:rPr>
                            </w:pPr>
                            <w:r>
                              <w:rPr>
                                <w:b/>
                                <w:u w:val="single"/>
                              </w:rPr>
                              <w:t>% change Q4 ‘18/ Q3 ‘18</w:t>
                            </w:r>
                          </w:p>
                          <w:p w:rsidR="00E81B3B" w:rsidRPr="00516AE7" w:rsidRDefault="00E81B3B" w:rsidP="00627C61">
                            <w:pPr>
                              <w:rPr>
                                <w:sz w:val="20"/>
                                <w:szCs w:val="20"/>
                              </w:rPr>
                            </w:pPr>
                            <w:r w:rsidRPr="00516AE7">
                              <w:rPr>
                                <w:sz w:val="20"/>
                                <w:szCs w:val="20"/>
                              </w:rPr>
                              <w:t xml:space="preserve">Fixed to Fixed: </w:t>
                            </w:r>
                            <w:r>
                              <w:rPr>
                                <w:sz w:val="20"/>
                                <w:szCs w:val="20"/>
                              </w:rPr>
                              <w:t xml:space="preserve">             3.81%</w:t>
                            </w:r>
                          </w:p>
                          <w:p w:rsidR="00E81B3B" w:rsidRPr="00516AE7" w:rsidRDefault="00E81B3B" w:rsidP="00627C61">
                            <w:pPr>
                              <w:rPr>
                                <w:sz w:val="20"/>
                                <w:szCs w:val="20"/>
                              </w:rPr>
                            </w:pPr>
                            <w:r w:rsidRPr="00516AE7">
                              <w:rPr>
                                <w:sz w:val="20"/>
                                <w:szCs w:val="20"/>
                              </w:rPr>
                              <w:t xml:space="preserve">Fixed to Mobile: </w:t>
                            </w:r>
                            <w:r>
                              <w:rPr>
                                <w:sz w:val="20"/>
                                <w:szCs w:val="20"/>
                              </w:rPr>
                              <w:t xml:space="preserve">        - 9.80%</w:t>
                            </w:r>
                          </w:p>
                          <w:p w:rsidR="00E81B3B" w:rsidRPr="00516AE7" w:rsidRDefault="00E81B3B" w:rsidP="00627C61">
                            <w:pPr>
                              <w:rPr>
                                <w:sz w:val="20"/>
                                <w:szCs w:val="20"/>
                              </w:rPr>
                            </w:pPr>
                            <w:r w:rsidRPr="00516AE7">
                              <w:rPr>
                                <w:sz w:val="20"/>
                                <w:szCs w:val="20"/>
                              </w:rPr>
                              <w:t xml:space="preserve">Total International: </w:t>
                            </w:r>
                            <w:r>
                              <w:rPr>
                                <w:sz w:val="20"/>
                                <w:szCs w:val="20"/>
                              </w:rPr>
                              <w:t xml:space="preserve">  - 1.82%</w:t>
                            </w:r>
                          </w:p>
                          <w:p w:rsidR="00E81B3B" w:rsidRPr="00516AE7" w:rsidRDefault="00E81B3B" w:rsidP="00627C61">
                            <w:pPr>
                              <w:rPr>
                                <w:sz w:val="20"/>
                                <w:szCs w:val="20"/>
                              </w:rPr>
                            </w:pPr>
                            <w:r w:rsidRPr="00516AE7">
                              <w:rPr>
                                <w:sz w:val="20"/>
                                <w:szCs w:val="20"/>
                              </w:rPr>
                              <w:t xml:space="preserve">Int’l - Outgoing: </w:t>
                            </w:r>
                            <w:r>
                              <w:rPr>
                                <w:sz w:val="20"/>
                                <w:szCs w:val="20"/>
                              </w:rPr>
                              <w:t xml:space="preserve">       - 13.18%</w:t>
                            </w:r>
                          </w:p>
                          <w:p w:rsidR="00E81B3B" w:rsidRPr="00516AE7" w:rsidRDefault="00E81B3B" w:rsidP="00627C61">
                            <w:pPr>
                              <w:rPr>
                                <w:sz w:val="20"/>
                                <w:szCs w:val="20"/>
                              </w:rPr>
                            </w:pPr>
                            <w:r w:rsidRPr="00516AE7">
                              <w:rPr>
                                <w:sz w:val="20"/>
                                <w:szCs w:val="20"/>
                              </w:rPr>
                              <w:t xml:space="preserve">Int’l - Incoming: </w:t>
                            </w:r>
                            <w:r>
                              <w:rPr>
                                <w:sz w:val="20"/>
                                <w:szCs w:val="20"/>
                              </w:rPr>
                              <w:t xml:space="preserve">           1.41%</w:t>
                            </w:r>
                          </w:p>
                          <w:p w:rsidR="00E81B3B" w:rsidRDefault="00E81B3B"/>
                          <w:p w:rsidR="00E81B3B" w:rsidRDefault="00E81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194A" id="Text Box 6" o:spid="_x0000_s1030" type="#_x0000_t202" style="position:absolute;margin-left:539.25pt;margin-top:13.65pt;width:141.7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" fillcolor="white [3201]" stroked="f" strokeweight=".5pt">
                <v:shadow on="t" color="black" offset="0,1pt"/>
                <v:textbox>
                  <w:txbxContent>
                    <w:p w:rsidR="00E81B3B" w:rsidRPr="00627C61" w:rsidRDefault="00E81B3B">
                      <w:pPr>
                        <w:rPr>
                          <w:b/>
                          <w:u w:val="single"/>
                        </w:rPr>
                      </w:pPr>
                      <w:r>
                        <w:rPr>
                          <w:b/>
                          <w:u w:val="single"/>
                        </w:rPr>
                        <w:t>% change Q4 ‘18/ Q3 ‘18</w:t>
                      </w:r>
                    </w:p>
                    <w:p w:rsidR="00E81B3B" w:rsidRPr="00516AE7" w:rsidRDefault="00E81B3B" w:rsidP="00627C61">
                      <w:pPr>
                        <w:rPr>
                          <w:sz w:val="20"/>
                          <w:szCs w:val="20"/>
                        </w:rPr>
                      </w:pPr>
                      <w:r w:rsidRPr="00516AE7">
                        <w:rPr>
                          <w:sz w:val="20"/>
                          <w:szCs w:val="20"/>
                        </w:rPr>
                        <w:t xml:space="preserve">Fixed to Fixed: </w:t>
                      </w:r>
                      <w:r>
                        <w:rPr>
                          <w:sz w:val="20"/>
                          <w:szCs w:val="20"/>
                        </w:rPr>
                        <w:t xml:space="preserve">             3.81%</w:t>
                      </w:r>
                    </w:p>
                    <w:p w:rsidR="00E81B3B" w:rsidRPr="00516AE7" w:rsidRDefault="00E81B3B" w:rsidP="00627C61">
                      <w:pPr>
                        <w:rPr>
                          <w:sz w:val="20"/>
                          <w:szCs w:val="20"/>
                        </w:rPr>
                      </w:pPr>
                      <w:r w:rsidRPr="00516AE7">
                        <w:rPr>
                          <w:sz w:val="20"/>
                          <w:szCs w:val="20"/>
                        </w:rPr>
                        <w:t xml:space="preserve">Fixed to Mobile: </w:t>
                      </w:r>
                      <w:r>
                        <w:rPr>
                          <w:sz w:val="20"/>
                          <w:szCs w:val="20"/>
                        </w:rPr>
                        <w:t xml:space="preserve">        - 9.80%</w:t>
                      </w:r>
                    </w:p>
                    <w:p w:rsidR="00E81B3B" w:rsidRPr="00516AE7" w:rsidRDefault="00E81B3B" w:rsidP="00627C61">
                      <w:pPr>
                        <w:rPr>
                          <w:sz w:val="20"/>
                          <w:szCs w:val="20"/>
                        </w:rPr>
                      </w:pPr>
                      <w:r w:rsidRPr="00516AE7">
                        <w:rPr>
                          <w:sz w:val="20"/>
                          <w:szCs w:val="20"/>
                        </w:rPr>
                        <w:t xml:space="preserve">Total International: </w:t>
                      </w:r>
                      <w:r>
                        <w:rPr>
                          <w:sz w:val="20"/>
                          <w:szCs w:val="20"/>
                        </w:rPr>
                        <w:t xml:space="preserve">  - 1.82%</w:t>
                      </w:r>
                    </w:p>
                    <w:p w:rsidR="00E81B3B" w:rsidRPr="00516AE7" w:rsidRDefault="00E81B3B" w:rsidP="00627C61">
                      <w:pPr>
                        <w:rPr>
                          <w:sz w:val="20"/>
                          <w:szCs w:val="20"/>
                        </w:rPr>
                      </w:pPr>
                      <w:r w:rsidRPr="00516AE7">
                        <w:rPr>
                          <w:sz w:val="20"/>
                          <w:szCs w:val="20"/>
                        </w:rPr>
                        <w:t xml:space="preserve">Int’l - Outgoing: </w:t>
                      </w:r>
                      <w:r>
                        <w:rPr>
                          <w:sz w:val="20"/>
                          <w:szCs w:val="20"/>
                        </w:rPr>
                        <w:t xml:space="preserve">       - 13.18%</w:t>
                      </w:r>
                    </w:p>
                    <w:p w:rsidR="00E81B3B" w:rsidRPr="00516AE7" w:rsidRDefault="00E81B3B" w:rsidP="00627C61">
                      <w:pPr>
                        <w:rPr>
                          <w:sz w:val="20"/>
                          <w:szCs w:val="20"/>
                        </w:rPr>
                      </w:pPr>
                      <w:r w:rsidRPr="00516AE7">
                        <w:rPr>
                          <w:sz w:val="20"/>
                          <w:szCs w:val="20"/>
                        </w:rPr>
                        <w:t xml:space="preserve">Int’l - Incoming: </w:t>
                      </w:r>
                      <w:r>
                        <w:rPr>
                          <w:sz w:val="20"/>
                          <w:szCs w:val="20"/>
                        </w:rPr>
                        <w:t xml:space="preserve">           1.41%</w:t>
                      </w:r>
                    </w:p>
                    <w:p w:rsidR="00E81B3B" w:rsidRDefault="00E81B3B"/>
                    <w:p w:rsidR="00E81B3B" w:rsidRDefault="00E81B3B"/>
                  </w:txbxContent>
                </v:textbox>
              </v:shape>
            </w:pict>
          </mc:Fallback>
        </mc:AlternateContent>
      </w:r>
      <w:r>
        <w:rPr>
          <w:noProof/>
          <w:lang w:val="en-GB" w:eastAsia="en-GB"/>
        </w:rPr>
        <w:drawing>
          <wp:inline distT="0" distB="0" distL="0" distR="0" wp14:anchorId="3C714ABD" wp14:editId="614D15B1">
            <wp:extent cx="6734175" cy="39624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1981" w:rsidRDefault="00611981">
      <w:pPr>
        <w:rPr>
          <w:noProof/>
          <w:lang w:val="en-US"/>
        </w:rPr>
      </w:pPr>
    </w:p>
    <w:p w:rsidR="00611981" w:rsidRDefault="00611981">
      <w:pPr>
        <w:rPr>
          <w:noProof/>
          <w:lang w:val="en-US"/>
        </w:rPr>
      </w:pPr>
    </w:p>
    <w:p w:rsidR="00516AE7" w:rsidRDefault="00516AE7">
      <w:pPr>
        <w:rPr>
          <w:noProof/>
          <w:lang w:val="en-US"/>
        </w:rPr>
      </w:pPr>
    </w:p>
    <w:p w:rsidR="00627C61" w:rsidRPr="002C2B20" w:rsidRDefault="00627C61" w:rsidP="002C2B20">
      <w:pPr>
        <w:pStyle w:val="Heading2"/>
        <w:rPr>
          <w:b/>
        </w:rPr>
      </w:pPr>
      <w:bookmarkStart w:id="5" w:name="_Toc7797966"/>
      <w:r w:rsidRPr="002C2B20">
        <w:rPr>
          <w:b/>
        </w:rPr>
        <w:t>Figure 4:</w:t>
      </w:r>
      <w:r w:rsidRPr="002C2B20">
        <w:rPr>
          <w:b/>
        </w:rPr>
        <w:tab/>
      </w:r>
      <w:r w:rsidR="003F1F50">
        <w:rPr>
          <w:b/>
        </w:rPr>
        <w:t>Fixed Services</w:t>
      </w:r>
      <w:r w:rsidRPr="002C2B20">
        <w:rPr>
          <w:b/>
        </w:rPr>
        <w:t xml:space="preserve"> Average Revenue per User</w:t>
      </w:r>
      <w:r w:rsidR="003F1F50">
        <w:rPr>
          <w:b/>
        </w:rPr>
        <w:t xml:space="preserve"> (ARPU)</w:t>
      </w:r>
      <w:bookmarkEnd w:id="5"/>
    </w:p>
    <w:p w:rsidR="00627C61" w:rsidRDefault="00627C61"/>
    <w:p w:rsidR="00627C61" w:rsidRDefault="000F6669">
      <w:pPr>
        <w:rPr>
          <w:noProof/>
          <w:lang w:val="en-US"/>
        </w:rPr>
      </w:pPr>
      <w:r>
        <w:rPr>
          <w:noProof/>
          <w:lang w:val="en-GB" w:eastAsia="en-GB"/>
        </w:rPr>
        <w:drawing>
          <wp:inline distT="0" distB="0" distL="0" distR="0" wp14:anchorId="5D55D351" wp14:editId="4098BD84">
            <wp:extent cx="6591300" cy="44958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96786">
        <w:rPr>
          <w:noProof/>
          <w:lang w:val="en-GB" w:eastAsia="en-GB"/>
        </w:rPr>
        <mc:AlternateContent>
          <mc:Choice Requires="wps">
            <w:drawing>
              <wp:anchor distT="0" distB="0" distL="114300" distR="114300" simplePos="0" relativeHeight="251662336" behindDoc="0" locked="0" layoutInCell="1" allowOverlap="1" wp14:anchorId="69F0E1F0" wp14:editId="653FBC06">
                <wp:simplePos x="0" y="0"/>
                <wp:positionH relativeFrom="column">
                  <wp:posOffset>6934200</wp:posOffset>
                </wp:positionH>
                <wp:positionV relativeFrom="paragraph">
                  <wp:posOffset>143510</wp:posOffset>
                </wp:positionV>
                <wp:extent cx="1771650" cy="1638300"/>
                <wp:effectExtent l="133350" t="133350" r="133350" b="152400"/>
                <wp:wrapNone/>
                <wp:docPr id="8" name="Text Box 8"/>
                <wp:cNvGraphicFramePr/>
                <a:graphic xmlns:a="http://schemas.openxmlformats.org/drawingml/2006/main">
                  <a:graphicData uri="http://schemas.microsoft.com/office/word/2010/wordprocessingShape">
                    <wps:wsp>
                      <wps:cNvSpPr txBox="1"/>
                      <wps:spPr>
                        <a:xfrm>
                          <a:off x="0" y="0"/>
                          <a:ext cx="1771650" cy="163830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695C58" w:rsidRDefault="00E81B3B">
                            <w:pPr>
                              <w:rPr>
                                <w:b/>
                                <w:u w:val="single"/>
                              </w:rPr>
                            </w:pPr>
                            <w:r>
                              <w:rPr>
                                <w:b/>
                                <w:u w:val="single"/>
                              </w:rPr>
                              <w:t xml:space="preserve">% Change: Q4 </w:t>
                            </w:r>
                            <w:r w:rsidRPr="00695C58">
                              <w:rPr>
                                <w:b/>
                                <w:u w:val="single"/>
                              </w:rPr>
                              <w:t>‘1</w:t>
                            </w:r>
                            <w:r>
                              <w:rPr>
                                <w:b/>
                                <w:u w:val="single"/>
                              </w:rPr>
                              <w:t>8</w:t>
                            </w:r>
                            <w:r w:rsidRPr="00695C58">
                              <w:rPr>
                                <w:b/>
                                <w:u w:val="single"/>
                              </w:rPr>
                              <w:t>/ Q</w:t>
                            </w:r>
                            <w:r>
                              <w:rPr>
                                <w:b/>
                                <w:u w:val="single"/>
                              </w:rPr>
                              <w:t>3 ‘18</w:t>
                            </w:r>
                          </w:p>
                          <w:p w:rsidR="00E81B3B" w:rsidRDefault="00E81B3B" w:rsidP="00D63CD8">
                            <w:pPr>
                              <w:rPr>
                                <w:sz w:val="20"/>
                                <w:szCs w:val="20"/>
                              </w:rPr>
                            </w:pPr>
                            <w:r w:rsidRPr="00516AE7">
                              <w:rPr>
                                <w:sz w:val="20"/>
                                <w:szCs w:val="20"/>
                              </w:rPr>
                              <w:t xml:space="preserve">Fixed to Fixed: </w:t>
                            </w:r>
                            <w:r>
                              <w:rPr>
                                <w:sz w:val="20"/>
                                <w:szCs w:val="20"/>
                              </w:rPr>
                              <w:t xml:space="preserve">            3.87%</w:t>
                            </w:r>
                          </w:p>
                          <w:p w:rsidR="00E81B3B" w:rsidRPr="00516AE7" w:rsidRDefault="00E81B3B" w:rsidP="00D63CD8">
                            <w:pPr>
                              <w:rPr>
                                <w:sz w:val="20"/>
                                <w:szCs w:val="20"/>
                              </w:rPr>
                            </w:pPr>
                            <w:r w:rsidRPr="00516AE7">
                              <w:rPr>
                                <w:sz w:val="20"/>
                                <w:szCs w:val="20"/>
                              </w:rPr>
                              <w:t xml:space="preserve">Fixed to Mobile: </w:t>
                            </w:r>
                            <w:r>
                              <w:rPr>
                                <w:sz w:val="20"/>
                                <w:szCs w:val="20"/>
                              </w:rPr>
                              <w:t xml:space="preserve">       - 9.75%</w:t>
                            </w:r>
                          </w:p>
                          <w:p w:rsidR="00E81B3B" w:rsidRPr="00516AE7" w:rsidRDefault="00E81B3B" w:rsidP="00695C58">
                            <w:pPr>
                              <w:rPr>
                                <w:sz w:val="20"/>
                                <w:szCs w:val="20"/>
                              </w:rPr>
                            </w:pPr>
                            <w:r w:rsidRPr="00516AE7">
                              <w:rPr>
                                <w:sz w:val="20"/>
                                <w:szCs w:val="20"/>
                              </w:rPr>
                              <w:t xml:space="preserve">Int’l - Outgoing: </w:t>
                            </w:r>
                            <w:r>
                              <w:rPr>
                                <w:sz w:val="20"/>
                                <w:szCs w:val="20"/>
                              </w:rPr>
                              <w:t xml:space="preserve">       -13.13%</w:t>
                            </w:r>
                          </w:p>
                          <w:p w:rsidR="00E81B3B" w:rsidRPr="00516AE7" w:rsidRDefault="00E81B3B" w:rsidP="00D63CD8">
                            <w:pPr>
                              <w:rPr>
                                <w:sz w:val="20"/>
                                <w:szCs w:val="20"/>
                              </w:rPr>
                            </w:pPr>
                            <w:r w:rsidRPr="00516AE7">
                              <w:rPr>
                                <w:sz w:val="20"/>
                                <w:szCs w:val="20"/>
                              </w:rPr>
                              <w:t xml:space="preserve">Int’l - Incoming: </w:t>
                            </w:r>
                            <w:r>
                              <w:rPr>
                                <w:sz w:val="20"/>
                                <w:szCs w:val="20"/>
                              </w:rPr>
                              <w:t xml:space="preserve">          1.47%</w:t>
                            </w:r>
                          </w:p>
                          <w:p w:rsidR="00E81B3B" w:rsidRDefault="00E81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0E1F0" id="Text Box 8" o:spid="_x0000_s1031" type="#_x0000_t202" style="position:absolute;margin-left:546pt;margin-top:11.3pt;width:139.5pt;height:1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" fillcolor="white [3201]" stroked="f" strokeweight=".5pt">
                <v:shadow on="t" color="black" offset="0,1pt"/>
                <v:textbox>
                  <w:txbxContent>
                    <w:p w:rsidR="00E81B3B" w:rsidRPr="00695C58" w:rsidRDefault="00E81B3B">
                      <w:pPr>
                        <w:rPr>
                          <w:b/>
                          <w:u w:val="single"/>
                        </w:rPr>
                      </w:pPr>
                      <w:r>
                        <w:rPr>
                          <w:b/>
                          <w:u w:val="single"/>
                        </w:rPr>
                        <w:t xml:space="preserve">% Change: Q4 </w:t>
                      </w:r>
                      <w:r w:rsidRPr="00695C58">
                        <w:rPr>
                          <w:b/>
                          <w:u w:val="single"/>
                        </w:rPr>
                        <w:t>‘1</w:t>
                      </w:r>
                      <w:r>
                        <w:rPr>
                          <w:b/>
                          <w:u w:val="single"/>
                        </w:rPr>
                        <w:t>8</w:t>
                      </w:r>
                      <w:r w:rsidRPr="00695C58">
                        <w:rPr>
                          <w:b/>
                          <w:u w:val="single"/>
                        </w:rPr>
                        <w:t>/ Q</w:t>
                      </w:r>
                      <w:r>
                        <w:rPr>
                          <w:b/>
                          <w:u w:val="single"/>
                        </w:rPr>
                        <w:t>3 ‘18</w:t>
                      </w:r>
                    </w:p>
                    <w:p w:rsidR="00E81B3B" w:rsidRDefault="00E81B3B" w:rsidP="00D63CD8">
                      <w:pPr>
                        <w:rPr>
                          <w:sz w:val="20"/>
                          <w:szCs w:val="20"/>
                        </w:rPr>
                      </w:pPr>
                      <w:r w:rsidRPr="00516AE7">
                        <w:rPr>
                          <w:sz w:val="20"/>
                          <w:szCs w:val="20"/>
                        </w:rPr>
                        <w:t xml:space="preserve">Fixed to Fixed: </w:t>
                      </w:r>
                      <w:r>
                        <w:rPr>
                          <w:sz w:val="20"/>
                          <w:szCs w:val="20"/>
                        </w:rPr>
                        <w:t xml:space="preserve">            3.87%</w:t>
                      </w:r>
                    </w:p>
                    <w:p w:rsidR="00E81B3B" w:rsidRPr="00516AE7" w:rsidRDefault="00E81B3B" w:rsidP="00D63CD8">
                      <w:pPr>
                        <w:rPr>
                          <w:sz w:val="20"/>
                          <w:szCs w:val="20"/>
                        </w:rPr>
                      </w:pPr>
                      <w:r w:rsidRPr="00516AE7">
                        <w:rPr>
                          <w:sz w:val="20"/>
                          <w:szCs w:val="20"/>
                        </w:rPr>
                        <w:t xml:space="preserve">Fixed to Mobile: </w:t>
                      </w:r>
                      <w:r>
                        <w:rPr>
                          <w:sz w:val="20"/>
                          <w:szCs w:val="20"/>
                        </w:rPr>
                        <w:t xml:space="preserve">       - 9.75%</w:t>
                      </w:r>
                    </w:p>
                    <w:p w:rsidR="00E81B3B" w:rsidRPr="00516AE7" w:rsidRDefault="00E81B3B" w:rsidP="00695C58">
                      <w:pPr>
                        <w:rPr>
                          <w:sz w:val="20"/>
                          <w:szCs w:val="20"/>
                        </w:rPr>
                      </w:pPr>
                      <w:r w:rsidRPr="00516AE7">
                        <w:rPr>
                          <w:sz w:val="20"/>
                          <w:szCs w:val="20"/>
                        </w:rPr>
                        <w:t xml:space="preserve">Int’l - Outgoing: </w:t>
                      </w:r>
                      <w:r>
                        <w:rPr>
                          <w:sz w:val="20"/>
                          <w:szCs w:val="20"/>
                        </w:rPr>
                        <w:t xml:space="preserve">       -13.13%</w:t>
                      </w:r>
                    </w:p>
                    <w:p w:rsidR="00E81B3B" w:rsidRPr="00516AE7" w:rsidRDefault="00E81B3B" w:rsidP="00D63CD8">
                      <w:pPr>
                        <w:rPr>
                          <w:sz w:val="20"/>
                          <w:szCs w:val="20"/>
                        </w:rPr>
                      </w:pPr>
                      <w:r w:rsidRPr="00516AE7">
                        <w:rPr>
                          <w:sz w:val="20"/>
                          <w:szCs w:val="20"/>
                        </w:rPr>
                        <w:t xml:space="preserve">Int’l - Incoming: </w:t>
                      </w:r>
                      <w:r>
                        <w:rPr>
                          <w:sz w:val="20"/>
                          <w:szCs w:val="20"/>
                        </w:rPr>
                        <w:t xml:space="preserve">          1.47%</w:t>
                      </w:r>
                    </w:p>
                    <w:p w:rsidR="00E81B3B" w:rsidRDefault="00E81B3B"/>
                  </w:txbxContent>
                </v:textbox>
              </v:shape>
            </w:pict>
          </mc:Fallback>
        </mc:AlternateContent>
      </w:r>
    </w:p>
    <w:p w:rsidR="0081331E" w:rsidRDefault="0081331E">
      <w:pPr>
        <w:rPr>
          <w:noProof/>
          <w:lang w:val="en-US"/>
        </w:rPr>
      </w:pPr>
    </w:p>
    <w:p w:rsidR="0081331E" w:rsidRDefault="0081331E">
      <w:pPr>
        <w:rPr>
          <w:noProof/>
          <w:lang w:val="en-US"/>
        </w:rPr>
      </w:pPr>
    </w:p>
    <w:p w:rsidR="0081331E" w:rsidRDefault="0081331E">
      <w:pPr>
        <w:rPr>
          <w:noProof/>
          <w:lang w:val="en-US"/>
        </w:rPr>
      </w:pPr>
    </w:p>
    <w:p w:rsidR="0081331E" w:rsidRDefault="0081331E">
      <w:pPr>
        <w:rPr>
          <w:noProof/>
          <w:lang w:val="en-US"/>
        </w:rPr>
      </w:pPr>
    </w:p>
    <w:p w:rsidR="0081331E" w:rsidRDefault="0081331E">
      <w:pPr>
        <w:rPr>
          <w:noProof/>
          <w:lang w:val="en-US"/>
        </w:rPr>
      </w:pPr>
    </w:p>
    <w:p w:rsidR="0081331E" w:rsidRDefault="0081331E"/>
    <w:p w:rsidR="00695C58" w:rsidRDefault="00695C58"/>
    <w:p w:rsidR="002A3BB8" w:rsidRDefault="002A3BB8"/>
    <w:p w:rsidR="002A3BB8" w:rsidRDefault="002A3BB8"/>
    <w:p w:rsidR="00695C58" w:rsidRPr="002C2B20" w:rsidRDefault="00695C58" w:rsidP="002C2B20">
      <w:pPr>
        <w:pStyle w:val="Heading1"/>
        <w:jc w:val="center"/>
        <w:rPr>
          <w:b/>
          <w:sz w:val="96"/>
          <w:szCs w:val="96"/>
        </w:rPr>
      </w:pPr>
      <w:bookmarkStart w:id="6" w:name="_Toc7797967"/>
      <w:r w:rsidRPr="002C2B20">
        <w:rPr>
          <w:b/>
          <w:sz w:val="96"/>
          <w:szCs w:val="96"/>
        </w:rPr>
        <w:t xml:space="preserve">Mobile </w:t>
      </w:r>
      <w:r w:rsidR="00234C65">
        <w:rPr>
          <w:b/>
          <w:sz w:val="96"/>
          <w:szCs w:val="96"/>
        </w:rPr>
        <w:t xml:space="preserve">Market </w:t>
      </w:r>
      <w:r w:rsidRPr="002C2B20">
        <w:rPr>
          <w:b/>
          <w:sz w:val="96"/>
          <w:szCs w:val="96"/>
        </w:rPr>
        <w:t>Data</w:t>
      </w:r>
      <w:bookmarkEnd w:id="6"/>
    </w:p>
    <w:p w:rsidR="00695C58" w:rsidRDefault="00695C58"/>
    <w:p w:rsidR="00695C58" w:rsidRDefault="00695C58"/>
    <w:p w:rsidR="00695C58" w:rsidRDefault="00695C58"/>
    <w:p w:rsidR="001C1884" w:rsidRDefault="001C1884"/>
    <w:p w:rsidR="00695C58" w:rsidRDefault="00695C58"/>
    <w:p w:rsidR="00FF45AE" w:rsidRDefault="00FF45AE"/>
    <w:p w:rsidR="00FF45AE" w:rsidRDefault="00FF45AE"/>
    <w:p w:rsidR="00695C58" w:rsidRPr="002C2B20" w:rsidRDefault="00695C58" w:rsidP="002C2B20">
      <w:pPr>
        <w:pStyle w:val="Heading2"/>
        <w:rPr>
          <w:b/>
        </w:rPr>
      </w:pPr>
      <w:bookmarkStart w:id="7" w:name="_Toc7797968"/>
      <w:r w:rsidRPr="002C2B20">
        <w:rPr>
          <w:b/>
        </w:rPr>
        <w:t>Figure 5:</w:t>
      </w:r>
      <w:r w:rsidRPr="002C2B20">
        <w:rPr>
          <w:b/>
        </w:rPr>
        <w:tab/>
        <w:t>Mobile Service</w:t>
      </w:r>
      <w:r w:rsidR="00567520">
        <w:rPr>
          <w:b/>
        </w:rPr>
        <w:t>s</w:t>
      </w:r>
      <w:r w:rsidRPr="002C2B20">
        <w:rPr>
          <w:b/>
        </w:rPr>
        <w:t xml:space="preserve"> Subscriptions</w:t>
      </w:r>
      <w:bookmarkEnd w:id="7"/>
    </w:p>
    <w:p w:rsidR="007159F9" w:rsidRDefault="007159F9"/>
    <w:p w:rsidR="002501AF" w:rsidRDefault="000F6669">
      <w:pPr>
        <w:rPr>
          <w:noProof/>
          <w:lang w:val="en-US"/>
        </w:rPr>
      </w:pPr>
      <w:r>
        <w:rPr>
          <w:noProof/>
          <w:lang w:val="en-GB" w:eastAsia="en-GB"/>
        </w:rPr>
        <w:drawing>
          <wp:inline distT="0" distB="0" distL="0" distR="0" wp14:anchorId="07F7BAEB" wp14:editId="45CA8EAE">
            <wp:extent cx="6296025" cy="4333875"/>
            <wp:effectExtent l="0" t="0" r="9525" b="952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C6DF2">
        <w:rPr>
          <w:noProof/>
          <w:lang w:val="en-GB" w:eastAsia="en-GB"/>
        </w:rPr>
        <mc:AlternateContent>
          <mc:Choice Requires="wps">
            <w:drawing>
              <wp:anchor distT="0" distB="0" distL="114300" distR="114300" simplePos="0" relativeHeight="251663360" behindDoc="0" locked="0" layoutInCell="1" allowOverlap="1" wp14:anchorId="70A6CD41" wp14:editId="0ACBEC60">
                <wp:simplePos x="0" y="0"/>
                <wp:positionH relativeFrom="column">
                  <wp:posOffset>6457950</wp:posOffset>
                </wp:positionH>
                <wp:positionV relativeFrom="paragraph">
                  <wp:posOffset>147320</wp:posOffset>
                </wp:positionV>
                <wp:extent cx="1905000" cy="1524000"/>
                <wp:effectExtent l="133350" t="133350" r="133350" b="152400"/>
                <wp:wrapNone/>
                <wp:docPr id="10" name="Text Box 10"/>
                <wp:cNvGraphicFramePr/>
                <a:graphic xmlns:a="http://schemas.openxmlformats.org/drawingml/2006/main">
                  <a:graphicData uri="http://schemas.microsoft.com/office/word/2010/wordprocessingShape">
                    <wps:wsp>
                      <wps:cNvSpPr txBox="1"/>
                      <wps:spPr>
                        <a:xfrm>
                          <a:off x="0" y="0"/>
                          <a:ext cx="1905000" cy="152400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496067" w:rsidRDefault="00E81B3B" w:rsidP="000E38D8">
                            <w:pPr>
                              <w:rPr>
                                <w:b/>
                                <w:u w:val="single"/>
                              </w:rPr>
                            </w:pPr>
                            <w:r>
                              <w:rPr>
                                <w:b/>
                                <w:u w:val="single"/>
                              </w:rPr>
                              <w:t>% Change: Q4 ‘18/ Q3</w:t>
                            </w:r>
                            <w:r w:rsidRPr="00496067">
                              <w:rPr>
                                <w:b/>
                                <w:u w:val="single"/>
                              </w:rPr>
                              <w:t xml:space="preserve"> ‘1</w:t>
                            </w:r>
                            <w:r>
                              <w:rPr>
                                <w:b/>
                                <w:u w:val="single"/>
                              </w:rPr>
                              <w:t>8</w:t>
                            </w:r>
                          </w:p>
                          <w:p w:rsidR="00E81B3B" w:rsidRPr="00516AE7" w:rsidRDefault="00E81B3B" w:rsidP="000E38D8">
                            <w:pPr>
                              <w:rPr>
                                <w:sz w:val="20"/>
                                <w:szCs w:val="20"/>
                              </w:rPr>
                            </w:pPr>
                            <w:r w:rsidRPr="00516AE7">
                              <w:rPr>
                                <w:sz w:val="20"/>
                                <w:szCs w:val="20"/>
                              </w:rPr>
                              <w:t>Total Subscriptions:</w:t>
                            </w:r>
                            <w:r>
                              <w:rPr>
                                <w:sz w:val="20"/>
                                <w:szCs w:val="20"/>
                              </w:rPr>
                              <w:t xml:space="preserve">     - 6.87%</w:t>
                            </w:r>
                          </w:p>
                          <w:p w:rsidR="00E81B3B" w:rsidRPr="00516AE7" w:rsidRDefault="00E81B3B" w:rsidP="000E38D8">
                            <w:pPr>
                              <w:rPr>
                                <w:sz w:val="20"/>
                                <w:szCs w:val="20"/>
                              </w:rPr>
                            </w:pPr>
                            <w:r>
                              <w:rPr>
                                <w:sz w:val="20"/>
                                <w:szCs w:val="20"/>
                              </w:rPr>
                              <w:t>Postpaid</w:t>
                            </w:r>
                            <w:r w:rsidRPr="00516AE7">
                              <w:rPr>
                                <w:sz w:val="20"/>
                                <w:szCs w:val="20"/>
                              </w:rPr>
                              <w:t xml:space="preserve">: </w:t>
                            </w:r>
                            <w:r>
                              <w:rPr>
                                <w:sz w:val="20"/>
                                <w:szCs w:val="20"/>
                              </w:rPr>
                              <w:t xml:space="preserve">                         0.21%</w:t>
                            </w:r>
                          </w:p>
                          <w:p w:rsidR="00E81B3B" w:rsidRPr="00516AE7" w:rsidRDefault="00E81B3B" w:rsidP="000E38D8">
                            <w:pPr>
                              <w:rPr>
                                <w:sz w:val="20"/>
                                <w:szCs w:val="20"/>
                              </w:rPr>
                            </w:pPr>
                            <w:r>
                              <w:rPr>
                                <w:sz w:val="20"/>
                                <w:szCs w:val="20"/>
                              </w:rPr>
                              <w:t>Prepaid</w:t>
                            </w:r>
                            <w:r w:rsidRPr="00516AE7">
                              <w:rPr>
                                <w:sz w:val="20"/>
                                <w:szCs w:val="20"/>
                              </w:rPr>
                              <w:t xml:space="preserve">: </w:t>
                            </w:r>
                            <w:r>
                              <w:rPr>
                                <w:sz w:val="20"/>
                                <w:szCs w:val="20"/>
                              </w:rPr>
                              <w:t xml:space="preserve">                         - 7.35</w:t>
                            </w:r>
                            <w:r w:rsidRPr="00516AE7">
                              <w:rPr>
                                <w:sz w:val="20"/>
                                <w:szCs w:val="20"/>
                              </w:rPr>
                              <w:t>%</w:t>
                            </w:r>
                          </w:p>
                          <w:p w:rsidR="00E81B3B" w:rsidRDefault="00E81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CD41" id="Text Box 10" o:spid="_x0000_s1032" type="#_x0000_t202" style="position:absolute;margin-left:508.5pt;margin-top:11.6pt;width:150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" fillcolor="white [3201]" stroked="f" strokeweight=".5pt">
                <v:shadow on="t" color="black" offset="0,1pt"/>
                <v:textbox>
                  <w:txbxContent>
                    <w:p w:rsidR="00E81B3B" w:rsidRPr="00496067" w:rsidRDefault="00E81B3B" w:rsidP="000E38D8">
                      <w:pPr>
                        <w:rPr>
                          <w:b/>
                          <w:u w:val="single"/>
                        </w:rPr>
                      </w:pPr>
                      <w:r>
                        <w:rPr>
                          <w:b/>
                          <w:u w:val="single"/>
                        </w:rPr>
                        <w:t>% Change: Q4 ‘18/ Q3</w:t>
                      </w:r>
                      <w:r w:rsidRPr="00496067">
                        <w:rPr>
                          <w:b/>
                          <w:u w:val="single"/>
                        </w:rPr>
                        <w:t xml:space="preserve"> ‘1</w:t>
                      </w:r>
                      <w:r>
                        <w:rPr>
                          <w:b/>
                          <w:u w:val="single"/>
                        </w:rPr>
                        <w:t>8</w:t>
                      </w:r>
                    </w:p>
                    <w:p w:rsidR="00E81B3B" w:rsidRPr="00516AE7" w:rsidRDefault="00E81B3B" w:rsidP="000E38D8">
                      <w:pPr>
                        <w:rPr>
                          <w:sz w:val="20"/>
                          <w:szCs w:val="20"/>
                        </w:rPr>
                      </w:pPr>
                      <w:r w:rsidRPr="00516AE7">
                        <w:rPr>
                          <w:sz w:val="20"/>
                          <w:szCs w:val="20"/>
                        </w:rPr>
                        <w:t>Total Subscriptions:</w:t>
                      </w:r>
                      <w:r>
                        <w:rPr>
                          <w:sz w:val="20"/>
                          <w:szCs w:val="20"/>
                        </w:rPr>
                        <w:t xml:space="preserve">     - 6.87%</w:t>
                      </w:r>
                    </w:p>
                    <w:p w:rsidR="00E81B3B" w:rsidRPr="00516AE7" w:rsidRDefault="00E81B3B" w:rsidP="000E38D8">
                      <w:pPr>
                        <w:rPr>
                          <w:sz w:val="20"/>
                          <w:szCs w:val="20"/>
                        </w:rPr>
                      </w:pPr>
                      <w:r>
                        <w:rPr>
                          <w:sz w:val="20"/>
                          <w:szCs w:val="20"/>
                        </w:rPr>
                        <w:t>Postpaid</w:t>
                      </w:r>
                      <w:r w:rsidRPr="00516AE7">
                        <w:rPr>
                          <w:sz w:val="20"/>
                          <w:szCs w:val="20"/>
                        </w:rPr>
                        <w:t xml:space="preserve">: </w:t>
                      </w:r>
                      <w:r>
                        <w:rPr>
                          <w:sz w:val="20"/>
                          <w:szCs w:val="20"/>
                        </w:rPr>
                        <w:t xml:space="preserve">                         0.21%</w:t>
                      </w:r>
                    </w:p>
                    <w:p w:rsidR="00E81B3B" w:rsidRPr="00516AE7" w:rsidRDefault="00E81B3B" w:rsidP="000E38D8">
                      <w:pPr>
                        <w:rPr>
                          <w:sz w:val="20"/>
                          <w:szCs w:val="20"/>
                        </w:rPr>
                      </w:pPr>
                      <w:r>
                        <w:rPr>
                          <w:sz w:val="20"/>
                          <w:szCs w:val="20"/>
                        </w:rPr>
                        <w:t>Prepaid</w:t>
                      </w:r>
                      <w:r w:rsidRPr="00516AE7">
                        <w:rPr>
                          <w:sz w:val="20"/>
                          <w:szCs w:val="20"/>
                        </w:rPr>
                        <w:t xml:space="preserve">: </w:t>
                      </w:r>
                      <w:r>
                        <w:rPr>
                          <w:sz w:val="20"/>
                          <w:szCs w:val="20"/>
                        </w:rPr>
                        <w:t xml:space="preserve">                         - 7.35</w:t>
                      </w:r>
                      <w:r w:rsidRPr="00516AE7">
                        <w:rPr>
                          <w:sz w:val="20"/>
                          <w:szCs w:val="20"/>
                        </w:rPr>
                        <w:t>%</w:t>
                      </w:r>
                    </w:p>
                    <w:p w:rsidR="00E81B3B" w:rsidRDefault="00E81B3B"/>
                  </w:txbxContent>
                </v:textbox>
              </v:shape>
            </w:pict>
          </mc:Fallback>
        </mc:AlternateContent>
      </w:r>
    </w:p>
    <w:p w:rsidR="002501AF" w:rsidRDefault="002501AF">
      <w:pPr>
        <w:rPr>
          <w:noProof/>
          <w:lang w:val="en-US"/>
        </w:rPr>
      </w:pPr>
    </w:p>
    <w:p w:rsidR="002501AF" w:rsidRDefault="002501AF">
      <w:pPr>
        <w:rPr>
          <w:noProof/>
          <w:lang w:val="en-US"/>
        </w:rPr>
      </w:pPr>
    </w:p>
    <w:p w:rsidR="000E38D8" w:rsidRPr="002C2B20" w:rsidRDefault="000E38D8" w:rsidP="002C2B20">
      <w:pPr>
        <w:pStyle w:val="Heading2"/>
        <w:rPr>
          <w:b/>
        </w:rPr>
      </w:pPr>
      <w:bookmarkStart w:id="8" w:name="_Toc7797969"/>
      <w:r w:rsidRPr="002C2B20">
        <w:rPr>
          <w:b/>
        </w:rPr>
        <w:t>Figure 6:</w:t>
      </w:r>
      <w:r w:rsidRPr="002C2B20">
        <w:rPr>
          <w:b/>
        </w:rPr>
        <w:tab/>
        <w:t>Mobile Minutes</w:t>
      </w:r>
      <w:bookmarkEnd w:id="8"/>
    </w:p>
    <w:p w:rsidR="002C2B20" w:rsidRDefault="002C2B20"/>
    <w:p w:rsidR="00D8536C" w:rsidRDefault="00CF6612">
      <w:r>
        <w:rPr>
          <w:noProof/>
          <w:lang w:val="en-GB" w:eastAsia="en-GB"/>
        </w:rPr>
        <w:drawing>
          <wp:inline distT="0" distB="0" distL="0" distR="0" wp14:anchorId="1A386C77" wp14:editId="01A5DB0A">
            <wp:extent cx="6381750" cy="39052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8536C">
        <w:rPr>
          <w:noProof/>
          <w:lang w:val="en-GB" w:eastAsia="en-GB"/>
        </w:rPr>
        <mc:AlternateContent>
          <mc:Choice Requires="wps">
            <w:drawing>
              <wp:anchor distT="0" distB="0" distL="114300" distR="114300" simplePos="0" relativeHeight="251664384" behindDoc="0" locked="0" layoutInCell="1" allowOverlap="1" wp14:anchorId="743EA677" wp14:editId="02097157">
                <wp:simplePos x="0" y="0"/>
                <wp:positionH relativeFrom="column">
                  <wp:posOffset>6619875</wp:posOffset>
                </wp:positionH>
                <wp:positionV relativeFrom="paragraph">
                  <wp:posOffset>165100</wp:posOffset>
                </wp:positionV>
                <wp:extent cx="1952625" cy="2409825"/>
                <wp:effectExtent l="133350" t="114300" r="142875" b="161925"/>
                <wp:wrapNone/>
                <wp:docPr id="12" name="Text Box 12"/>
                <wp:cNvGraphicFramePr/>
                <a:graphic xmlns:a="http://schemas.openxmlformats.org/drawingml/2006/main">
                  <a:graphicData uri="http://schemas.microsoft.com/office/word/2010/wordprocessingShape">
                    <wps:wsp>
                      <wps:cNvSpPr txBox="1"/>
                      <wps:spPr>
                        <a:xfrm>
                          <a:off x="0" y="0"/>
                          <a:ext cx="1952625" cy="240982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3D5E32" w:rsidRDefault="00E81B3B">
                            <w:pPr>
                              <w:rPr>
                                <w:b/>
                                <w:sz w:val="20"/>
                                <w:szCs w:val="20"/>
                                <w:u w:val="single"/>
                              </w:rPr>
                            </w:pPr>
                            <w:r>
                              <w:rPr>
                                <w:b/>
                                <w:sz w:val="20"/>
                                <w:szCs w:val="20"/>
                                <w:u w:val="single"/>
                              </w:rPr>
                              <w:t>% Change: Q4</w:t>
                            </w:r>
                            <w:r w:rsidRPr="003D5E32">
                              <w:rPr>
                                <w:b/>
                                <w:sz w:val="20"/>
                                <w:szCs w:val="20"/>
                                <w:u w:val="single"/>
                              </w:rPr>
                              <w:t xml:space="preserve"> ‘1</w:t>
                            </w:r>
                            <w:r>
                              <w:rPr>
                                <w:b/>
                                <w:sz w:val="20"/>
                                <w:szCs w:val="20"/>
                                <w:u w:val="single"/>
                              </w:rPr>
                              <w:t>8</w:t>
                            </w:r>
                            <w:r w:rsidRPr="003D5E32">
                              <w:rPr>
                                <w:b/>
                                <w:sz w:val="20"/>
                                <w:szCs w:val="20"/>
                                <w:u w:val="single"/>
                              </w:rPr>
                              <w:t>/ Q</w:t>
                            </w:r>
                            <w:r>
                              <w:rPr>
                                <w:b/>
                                <w:sz w:val="20"/>
                                <w:szCs w:val="20"/>
                                <w:u w:val="single"/>
                              </w:rPr>
                              <w:t>3</w:t>
                            </w:r>
                            <w:r w:rsidRPr="003D5E32">
                              <w:rPr>
                                <w:b/>
                                <w:sz w:val="20"/>
                                <w:szCs w:val="20"/>
                                <w:u w:val="single"/>
                              </w:rPr>
                              <w:t xml:space="preserve"> ‘1</w:t>
                            </w:r>
                            <w:r>
                              <w:rPr>
                                <w:b/>
                                <w:sz w:val="20"/>
                                <w:szCs w:val="20"/>
                                <w:u w:val="single"/>
                              </w:rPr>
                              <w:t>8</w:t>
                            </w:r>
                          </w:p>
                          <w:p w:rsidR="00E81B3B" w:rsidRDefault="00E81B3B">
                            <w:pPr>
                              <w:rPr>
                                <w:sz w:val="20"/>
                                <w:szCs w:val="20"/>
                              </w:rPr>
                            </w:pPr>
                            <w:r>
                              <w:rPr>
                                <w:sz w:val="20"/>
                                <w:szCs w:val="20"/>
                              </w:rPr>
                              <w:t>Calls to fixed services:     2.19%</w:t>
                            </w:r>
                          </w:p>
                          <w:p w:rsidR="00E81B3B" w:rsidRDefault="00E81B3B">
                            <w:pPr>
                              <w:rPr>
                                <w:sz w:val="20"/>
                                <w:szCs w:val="20"/>
                              </w:rPr>
                            </w:pPr>
                            <w:r>
                              <w:rPr>
                                <w:sz w:val="20"/>
                                <w:szCs w:val="20"/>
                              </w:rPr>
                              <w:t>On-Net Calls:                     8.84%</w:t>
                            </w:r>
                          </w:p>
                          <w:p w:rsidR="00E81B3B" w:rsidRDefault="00E81B3B">
                            <w:pPr>
                              <w:rPr>
                                <w:sz w:val="20"/>
                                <w:szCs w:val="20"/>
                              </w:rPr>
                            </w:pPr>
                            <w:r>
                              <w:rPr>
                                <w:sz w:val="20"/>
                                <w:szCs w:val="20"/>
                              </w:rPr>
                              <w:t>Off-Net Calls:                     4.18%</w:t>
                            </w:r>
                          </w:p>
                          <w:p w:rsidR="00E81B3B" w:rsidRDefault="00E81B3B">
                            <w:pPr>
                              <w:rPr>
                                <w:sz w:val="20"/>
                                <w:szCs w:val="20"/>
                              </w:rPr>
                            </w:pPr>
                            <w:r>
                              <w:rPr>
                                <w:sz w:val="20"/>
                                <w:szCs w:val="20"/>
                              </w:rPr>
                              <w:t>Int’l Calls:                          - 8.00%</w:t>
                            </w:r>
                          </w:p>
                          <w:p w:rsidR="00E81B3B" w:rsidRDefault="00E81B3B">
                            <w:pPr>
                              <w:rPr>
                                <w:sz w:val="20"/>
                                <w:szCs w:val="20"/>
                              </w:rPr>
                            </w:pPr>
                            <w:r>
                              <w:rPr>
                                <w:sz w:val="20"/>
                                <w:szCs w:val="20"/>
                              </w:rPr>
                              <w:t>Int’l Calls – Outgoing:      - 8.02%</w:t>
                            </w:r>
                          </w:p>
                          <w:p w:rsidR="00E81B3B" w:rsidRDefault="00E81B3B">
                            <w:pPr>
                              <w:rPr>
                                <w:sz w:val="20"/>
                                <w:szCs w:val="20"/>
                              </w:rPr>
                            </w:pPr>
                            <w:r>
                              <w:rPr>
                                <w:sz w:val="20"/>
                                <w:szCs w:val="20"/>
                              </w:rPr>
                              <w:t>Int’l Calls – Incoming:       -7.90%</w:t>
                            </w:r>
                          </w:p>
                          <w:p w:rsidR="00E81B3B" w:rsidRDefault="00E81B3B">
                            <w:pPr>
                              <w:rPr>
                                <w:sz w:val="20"/>
                                <w:szCs w:val="20"/>
                              </w:rPr>
                            </w:pPr>
                            <w:r w:rsidRPr="008D42C3">
                              <w:rPr>
                                <w:sz w:val="18"/>
                                <w:szCs w:val="18"/>
                              </w:rPr>
                              <w:t>SMS &amp; other Mobile Data</w:t>
                            </w:r>
                            <w:r>
                              <w:rPr>
                                <w:sz w:val="20"/>
                                <w:szCs w:val="20"/>
                              </w:rPr>
                              <w:t xml:space="preserve"> Traffic:      - 1.15%</w:t>
                            </w:r>
                          </w:p>
                          <w:p w:rsidR="00E81B3B" w:rsidRPr="003D5E32" w:rsidRDefault="00E81B3B">
                            <w:pPr>
                              <w:rPr>
                                <w:sz w:val="20"/>
                                <w:szCs w:val="20"/>
                              </w:rPr>
                            </w:pPr>
                          </w:p>
                          <w:p w:rsidR="00E81B3B" w:rsidRPr="003D5E32" w:rsidRDefault="00E81B3B">
                            <w:pPr>
                              <w:rPr>
                                <w:sz w:val="20"/>
                                <w:szCs w:val="20"/>
                              </w:rPr>
                            </w:pPr>
                          </w:p>
                          <w:p w:rsidR="00E81B3B" w:rsidRPr="003D5E32" w:rsidRDefault="00E81B3B">
                            <w:pPr>
                              <w:rPr>
                                <w:sz w:val="20"/>
                                <w:szCs w:val="20"/>
                              </w:rPr>
                            </w:pPr>
                          </w:p>
                          <w:p w:rsidR="00E81B3B" w:rsidRDefault="00E81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A677" id="Text Box 12" o:spid="_x0000_s1033" type="#_x0000_t202" style="position:absolute;margin-left:521.25pt;margin-top:13pt;width:153.7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" fillcolor="white [3201]" stroked="f" strokeweight=".5pt">
                <v:shadow on="t" color="black" offset="0,1pt"/>
                <v:textbox>
                  <w:txbxContent>
                    <w:p w:rsidR="00E81B3B" w:rsidRPr="003D5E32" w:rsidRDefault="00E81B3B">
                      <w:pPr>
                        <w:rPr>
                          <w:b/>
                          <w:sz w:val="20"/>
                          <w:szCs w:val="20"/>
                          <w:u w:val="single"/>
                        </w:rPr>
                      </w:pPr>
                      <w:r>
                        <w:rPr>
                          <w:b/>
                          <w:sz w:val="20"/>
                          <w:szCs w:val="20"/>
                          <w:u w:val="single"/>
                        </w:rPr>
                        <w:t>% Change: Q4</w:t>
                      </w:r>
                      <w:r w:rsidRPr="003D5E32">
                        <w:rPr>
                          <w:b/>
                          <w:sz w:val="20"/>
                          <w:szCs w:val="20"/>
                          <w:u w:val="single"/>
                        </w:rPr>
                        <w:t xml:space="preserve"> ‘1</w:t>
                      </w:r>
                      <w:r>
                        <w:rPr>
                          <w:b/>
                          <w:sz w:val="20"/>
                          <w:szCs w:val="20"/>
                          <w:u w:val="single"/>
                        </w:rPr>
                        <w:t>8</w:t>
                      </w:r>
                      <w:r w:rsidRPr="003D5E32">
                        <w:rPr>
                          <w:b/>
                          <w:sz w:val="20"/>
                          <w:szCs w:val="20"/>
                          <w:u w:val="single"/>
                        </w:rPr>
                        <w:t>/ Q</w:t>
                      </w:r>
                      <w:r>
                        <w:rPr>
                          <w:b/>
                          <w:sz w:val="20"/>
                          <w:szCs w:val="20"/>
                          <w:u w:val="single"/>
                        </w:rPr>
                        <w:t>3</w:t>
                      </w:r>
                      <w:r w:rsidRPr="003D5E32">
                        <w:rPr>
                          <w:b/>
                          <w:sz w:val="20"/>
                          <w:szCs w:val="20"/>
                          <w:u w:val="single"/>
                        </w:rPr>
                        <w:t xml:space="preserve"> ‘1</w:t>
                      </w:r>
                      <w:r>
                        <w:rPr>
                          <w:b/>
                          <w:sz w:val="20"/>
                          <w:szCs w:val="20"/>
                          <w:u w:val="single"/>
                        </w:rPr>
                        <w:t>8</w:t>
                      </w:r>
                    </w:p>
                    <w:p w:rsidR="00E81B3B" w:rsidRDefault="00E81B3B">
                      <w:pPr>
                        <w:rPr>
                          <w:sz w:val="20"/>
                          <w:szCs w:val="20"/>
                        </w:rPr>
                      </w:pPr>
                      <w:r>
                        <w:rPr>
                          <w:sz w:val="20"/>
                          <w:szCs w:val="20"/>
                        </w:rPr>
                        <w:t>Calls to fixed services:     2.19%</w:t>
                      </w:r>
                    </w:p>
                    <w:p w:rsidR="00E81B3B" w:rsidRDefault="00E81B3B">
                      <w:pPr>
                        <w:rPr>
                          <w:sz w:val="20"/>
                          <w:szCs w:val="20"/>
                        </w:rPr>
                      </w:pPr>
                      <w:r>
                        <w:rPr>
                          <w:sz w:val="20"/>
                          <w:szCs w:val="20"/>
                        </w:rPr>
                        <w:t>On-Net Calls:                     8.84%</w:t>
                      </w:r>
                    </w:p>
                    <w:p w:rsidR="00E81B3B" w:rsidRDefault="00E81B3B">
                      <w:pPr>
                        <w:rPr>
                          <w:sz w:val="20"/>
                          <w:szCs w:val="20"/>
                        </w:rPr>
                      </w:pPr>
                      <w:r>
                        <w:rPr>
                          <w:sz w:val="20"/>
                          <w:szCs w:val="20"/>
                        </w:rPr>
                        <w:t>Off-Net Calls:                     4.18%</w:t>
                      </w:r>
                    </w:p>
                    <w:p w:rsidR="00E81B3B" w:rsidRDefault="00E81B3B">
                      <w:pPr>
                        <w:rPr>
                          <w:sz w:val="20"/>
                          <w:szCs w:val="20"/>
                        </w:rPr>
                      </w:pPr>
                      <w:r>
                        <w:rPr>
                          <w:sz w:val="20"/>
                          <w:szCs w:val="20"/>
                        </w:rPr>
                        <w:t>Int’l Calls:                          - 8.00%</w:t>
                      </w:r>
                    </w:p>
                    <w:p w:rsidR="00E81B3B" w:rsidRDefault="00E81B3B">
                      <w:pPr>
                        <w:rPr>
                          <w:sz w:val="20"/>
                          <w:szCs w:val="20"/>
                        </w:rPr>
                      </w:pPr>
                      <w:r>
                        <w:rPr>
                          <w:sz w:val="20"/>
                          <w:szCs w:val="20"/>
                        </w:rPr>
                        <w:t>Int’l Calls – Outgoing:      - 8.02%</w:t>
                      </w:r>
                    </w:p>
                    <w:p w:rsidR="00E81B3B" w:rsidRDefault="00E81B3B">
                      <w:pPr>
                        <w:rPr>
                          <w:sz w:val="20"/>
                          <w:szCs w:val="20"/>
                        </w:rPr>
                      </w:pPr>
                      <w:r>
                        <w:rPr>
                          <w:sz w:val="20"/>
                          <w:szCs w:val="20"/>
                        </w:rPr>
                        <w:t>Int’l Calls – Incoming:       -7.90%</w:t>
                      </w:r>
                    </w:p>
                    <w:p w:rsidR="00E81B3B" w:rsidRDefault="00E81B3B">
                      <w:pPr>
                        <w:rPr>
                          <w:sz w:val="20"/>
                          <w:szCs w:val="20"/>
                        </w:rPr>
                      </w:pPr>
                      <w:r w:rsidRPr="008D42C3">
                        <w:rPr>
                          <w:sz w:val="18"/>
                          <w:szCs w:val="18"/>
                        </w:rPr>
                        <w:t>SMS &amp; other Mobile Data</w:t>
                      </w:r>
                      <w:r>
                        <w:rPr>
                          <w:sz w:val="20"/>
                          <w:szCs w:val="20"/>
                        </w:rPr>
                        <w:t xml:space="preserve"> Traffic:      - 1.15%</w:t>
                      </w:r>
                    </w:p>
                    <w:p w:rsidR="00E81B3B" w:rsidRPr="003D5E32" w:rsidRDefault="00E81B3B">
                      <w:pPr>
                        <w:rPr>
                          <w:sz w:val="20"/>
                          <w:szCs w:val="20"/>
                        </w:rPr>
                      </w:pPr>
                    </w:p>
                    <w:p w:rsidR="00E81B3B" w:rsidRPr="003D5E32" w:rsidRDefault="00E81B3B">
                      <w:pPr>
                        <w:rPr>
                          <w:sz w:val="20"/>
                          <w:szCs w:val="20"/>
                        </w:rPr>
                      </w:pPr>
                    </w:p>
                    <w:p w:rsidR="00E81B3B" w:rsidRPr="003D5E32" w:rsidRDefault="00E81B3B">
                      <w:pPr>
                        <w:rPr>
                          <w:sz w:val="20"/>
                          <w:szCs w:val="20"/>
                        </w:rPr>
                      </w:pPr>
                    </w:p>
                    <w:p w:rsidR="00E81B3B" w:rsidRDefault="00E81B3B"/>
                  </w:txbxContent>
                </v:textbox>
              </v:shape>
            </w:pict>
          </mc:Fallback>
        </mc:AlternateContent>
      </w:r>
    </w:p>
    <w:p w:rsidR="009E3DD1" w:rsidRDefault="009E3DD1">
      <w:pPr>
        <w:rPr>
          <w:noProof/>
          <w:lang w:val="en-US"/>
        </w:rPr>
      </w:pPr>
    </w:p>
    <w:p w:rsidR="009E3DD1" w:rsidRDefault="009E3DD1">
      <w:pPr>
        <w:rPr>
          <w:noProof/>
          <w:lang w:val="en-US"/>
        </w:rPr>
      </w:pPr>
    </w:p>
    <w:p w:rsidR="009E3DD1" w:rsidRDefault="009E3DD1">
      <w:pPr>
        <w:rPr>
          <w:noProof/>
          <w:lang w:val="en-US"/>
        </w:rPr>
      </w:pPr>
    </w:p>
    <w:p w:rsidR="003A6680" w:rsidRPr="002C2B20" w:rsidRDefault="003A6680" w:rsidP="002C2B20">
      <w:pPr>
        <w:pStyle w:val="Heading2"/>
        <w:rPr>
          <w:b/>
        </w:rPr>
      </w:pPr>
      <w:bookmarkStart w:id="9" w:name="_Toc7797970"/>
      <w:r w:rsidRPr="002C2B20">
        <w:rPr>
          <w:b/>
        </w:rPr>
        <w:t>Figure 7:</w:t>
      </w:r>
      <w:r w:rsidRPr="002C2B20">
        <w:rPr>
          <w:b/>
        </w:rPr>
        <w:tab/>
        <w:t>Mobile Service</w:t>
      </w:r>
      <w:r w:rsidR="00CB333C">
        <w:rPr>
          <w:b/>
        </w:rPr>
        <w:t>s</w:t>
      </w:r>
      <w:r w:rsidRPr="002C2B20">
        <w:rPr>
          <w:b/>
        </w:rPr>
        <w:t xml:space="preserve"> Revenue</w:t>
      </w:r>
      <w:r w:rsidR="0016509B">
        <w:rPr>
          <w:b/>
        </w:rPr>
        <w:t xml:space="preserve"> </w:t>
      </w:r>
      <w:r w:rsidR="00CB333C">
        <w:rPr>
          <w:b/>
        </w:rPr>
        <w:t>Distribution</w:t>
      </w:r>
      <w:bookmarkEnd w:id="9"/>
    </w:p>
    <w:p w:rsidR="009E3DD1" w:rsidRDefault="009E3DD1">
      <w:pPr>
        <w:rPr>
          <w:noProof/>
          <w:lang w:val="en-US"/>
        </w:rPr>
      </w:pPr>
    </w:p>
    <w:p w:rsidR="00AB4CF4" w:rsidRDefault="00DC04EC">
      <w:pPr>
        <w:rPr>
          <w:noProof/>
          <w:lang w:val="en-US"/>
        </w:rPr>
      </w:pPr>
      <w:r>
        <w:rPr>
          <w:noProof/>
          <w:lang w:val="en-GB" w:eastAsia="en-GB"/>
        </w:rPr>
        <mc:AlternateContent>
          <mc:Choice Requires="wps">
            <w:drawing>
              <wp:anchor distT="0" distB="0" distL="114300" distR="114300" simplePos="0" relativeHeight="251665408" behindDoc="0" locked="0" layoutInCell="1" allowOverlap="1" wp14:anchorId="2376B6E0" wp14:editId="26A96FA6">
                <wp:simplePos x="0" y="0"/>
                <wp:positionH relativeFrom="column">
                  <wp:posOffset>6886575</wp:posOffset>
                </wp:positionH>
                <wp:positionV relativeFrom="paragraph">
                  <wp:posOffset>182880</wp:posOffset>
                </wp:positionV>
                <wp:extent cx="1847850" cy="2238375"/>
                <wp:effectExtent l="133350" t="114300" r="133350" b="161925"/>
                <wp:wrapNone/>
                <wp:docPr id="14" name="Text Box 14"/>
                <wp:cNvGraphicFramePr/>
                <a:graphic xmlns:a="http://schemas.openxmlformats.org/drawingml/2006/main">
                  <a:graphicData uri="http://schemas.microsoft.com/office/word/2010/wordprocessingShape">
                    <wps:wsp>
                      <wps:cNvSpPr txBox="1"/>
                      <wps:spPr>
                        <a:xfrm>
                          <a:off x="0" y="0"/>
                          <a:ext cx="1847850" cy="223837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D64B32" w:rsidRDefault="00E81B3B">
                            <w:pPr>
                              <w:rPr>
                                <w:b/>
                                <w:sz w:val="20"/>
                                <w:szCs w:val="20"/>
                                <w:u w:val="single"/>
                              </w:rPr>
                            </w:pPr>
                            <w:r>
                              <w:rPr>
                                <w:b/>
                                <w:sz w:val="20"/>
                                <w:szCs w:val="20"/>
                                <w:u w:val="single"/>
                              </w:rPr>
                              <w:t>% Change:  Q4</w:t>
                            </w:r>
                            <w:r w:rsidRPr="00D64B32">
                              <w:rPr>
                                <w:b/>
                                <w:sz w:val="20"/>
                                <w:szCs w:val="20"/>
                                <w:u w:val="single"/>
                              </w:rPr>
                              <w:t xml:space="preserve"> ‘1</w:t>
                            </w:r>
                            <w:r>
                              <w:rPr>
                                <w:b/>
                                <w:sz w:val="20"/>
                                <w:szCs w:val="20"/>
                                <w:u w:val="single"/>
                              </w:rPr>
                              <w:t>8</w:t>
                            </w:r>
                            <w:r w:rsidRPr="00D64B32">
                              <w:rPr>
                                <w:b/>
                                <w:sz w:val="20"/>
                                <w:szCs w:val="20"/>
                                <w:u w:val="single"/>
                              </w:rPr>
                              <w:t>/ Q</w:t>
                            </w:r>
                            <w:r>
                              <w:rPr>
                                <w:b/>
                                <w:sz w:val="20"/>
                                <w:szCs w:val="20"/>
                                <w:u w:val="single"/>
                              </w:rPr>
                              <w:t>3</w:t>
                            </w:r>
                            <w:r w:rsidRPr="00D64B32">
                              <w:rPr>
                                <w:b/>
                                <w:sz w:val="20"/>
                                <w:szCs w:val="20"/>
                                <w:u w:val="single"/>
                              </w:rPr>
                              <w:t xml:space="preserve"> ‘1</w:t>
                            </w:r>
                            <w:r>
                              <w:rPr>
                                <w:b/>
                                <w:sz w:val="20"/>
                                <w:szCs w:val="20"/>
                                <w:u w:val="single"/>
                              </w:rPr>
                              <w:t>8</w:t>
                            </w:r>
                          </w:p>
                          <w:p w:rsidR="00E81B3B" w:rsidRDefault="00E81B3B">
                            <w:pPr>
                              <w:rPr>
                                <w:sz w:val="20"/>
                                <w:szCs w:val="20"/>
                              </w:rPr>
                            </w:pPr>
                            <w:r>
                              <w:rPr>
                                <w:sz w:val="20"/>
                                <w:szCs w:val="20"/>
                              </w:rPr>
                              <w:t>Calls to Fixed services:  17.87%</w:t>
                            </w:r>
                          </w:p>
                          <w:p w:rsidR="00E81B3B" w:rsidRDefault="00E81B3B">
                            <w:pPr>
                              <w:rPr>
                                <w:sz w:val="20"/>
                                <w:szCs w:val="20"/>
                              </w:rPr>
                            </w:pPr>
                            <w:r>
                              <w:rPr>
                                <w:sz w:val="20"/>
                                <w:szCs w:val="20"/>
                              </w:rPr>
                              <w:t>On-Net Calls:                     9.17%</w:t>
                            </w:r>
                          </w:p>
                          <w:p w:rsidR="00E81B3B" w:rsidRDefault="00E81B3B">
                            <w:pPr>
                              <w:rPr>
                                <w:sz w:val="20"/>
                                <w:szCs w:val="20"/>
                              </w:rPr>
                            </w:pPr>
                            <w:r>
                              <w:rPr>
                                <w:sz w:val="20"/>
                                <w:szCs w:val="20"/>
                              </w:rPr>
                              <w:t>Off-Net Calls:                   17.49%</w:t>
                            </w:r>
                          </w:p>
                          <w:p w:rsidR="00E81B3B" w:rsidRDefault="00E81B3B">
                            <w:pPr>
                              <w:rPr>
                                <w:sz w:val="20"/>
                                <w:szCs w:val="20"/>
                              </w:rPr>
                            </w:pPr>
                            <w:r>
                              <w:rPr>
                                <w:sz w:val="20"/>
                                <w:szCs w:val="20"/>
                              </w:rPr>
                              <w:t>Int’l Calls – Outgoing:     23.65%</w:t>
                            </w:r>
                          </w:p>
                          <w:p w:rsidR="00E81B3B" w:rsidRDefault="00E81B3B">
                            <w:pPr>
                              <w:rPr>
                                <w:sz w:val="20"/>
                                <w:szCs w:val="20"/>
                              </w:rPr>
                            </w:pPr>
                            <w:r>
                              <w:rPr>
                                <w:sz w:val="20"/>
                                <w:szCs w:val="20"/>
                              </w:rPr>
                              <w:t>Int’l Calls – Incoming:    -15.57%</w:t>
                            </w:r>
                          </w:p>
                          <w:p w:rsidR="00E81B3B" w:rsidRDefault="00E81B3B">
                            <w:pPr>
                              <w:rPr>
                                <w:sz w:val="20"/>
                                <w:szCs w:val="20"/>
                              </w:rPr>
                            </w:pPr>
                            <w:r>
                              <w:rPr>
                                <w:sz w:val="20"/>
                                <w:szCs w:val="20"/>
                              </w:rPr>
                              <w:t>SMS &amp; other Mobile Data Traffic:  -9.20%</w:t>
                            </w:r>
                          </w:p>
                          <w:p w:rsidR="00E81B3B" w:rsidRPr="00D64B32" w:rsidRDefault="00E81B3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B6E0" id="Text Box 14" o:spid="_x0000_s1034" type="#_x0000_t202" style="position:absolute;margin-left:542.25pt;margin-top:14.4pt;width:145.5pt;height:17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" fillcolor="white [3201]" stroked="f" strokeweight=".5pt">
                <v:shadow on="t" color="black" offset="0,1pt"/>
                <v:textbox>
                  <w:txbxContent>
                    <w:p w:rsidR="00E81B3B" w:rsidRPr="00D64B32" w:rsidRDefault="00E81B3B">
                      <w:pPr>
                        <w:rPr>
                          <w:b/>
                          <w:sz w:val="20"/>
                          <w:szCs w:val="20"/>
                          <w:u w:val="single"/>
                        </w:rPr>
                      </w:pPr>
                      <w:r>
                        <w:rPr>
                          <w:b/>
                          <w:sz w:val="20"/>
                          <w:szCs w:val="20"/>
                          <w:u w:val="single"/>
                        </w:rPr>
                        <w:t>% Change:  Q4</w:t>
                      </w:r>
                      <w:r w:rsidRPr="00D64B32">
                        <w:rPr>
                          <w:b/>
                          <w:sz w:val="20"/>
                          <w:szCs w:val="20"/>
                          <w:u w:val="single"/>
                        </w:rPr>
                        <w:t xml:space="preserve"> ‘1</w:t>
                      </w:r>
                      <w:r>
                        <w:rPr>
                          <w:b/>
                          <w:sz w:val="20"/>
                          <w:szCs w:val="20"/>
                          <w:u w:val="single"/>
                        </w:rPr>
                        <w:t>8</w:t>
                      </w:r>
                      <w:r w:rsidRPr="00D64B32">
                        <w:rPr>
                          <w:b/>
                          <w:sz w:val="20"/>
                          <w:szCs w:val="20"/>
                          <w:u w:val="single"/>
                        </w:rPr>
                        <w:t>/ Q</w:t>
                      </w:r>
                      <w:r>
                        <w:rPr>
                          <w:b/>
                          <w:sz w:val="20"/>
                          <w:szCs w:val="20"/>
                          <w:u w:val="single"/>
                        </w:rPr>
                        <w:t>3</w:t>
                      </w:r>
                      <w:r w:rsidRPr="00D64B32">
                        <w:rPr>
                          <w:b/>
                          <w:sz w:val="20"/>
                          <w:szCs w:val="20"/>
                          <w:u w:val="single"/>
                        </w:rPr>
                        <w:t xml:space="preserve"> ‘1</w:t>
                      </w:r>
                      <w:r>
                        <w:rPr>
                          <w:b/>
                          <w:sz w:val="20"/>
                          <w:szCs w:val="20"/>
                          <w:u w:val="single"/>
                        </w:rPr>
                        <w:t>8</w:t>
                      </w:r>
                    </w:p>
                    <w:p w:rsidR="00E81B3B" w:rsidRDefault="00E81B3B">
                      <w:pPr>
                        <w:rPr>
                          <w:sz w:val="20"/>
                          <w:szCs w:val="20"/>
                        </w:rPr>
                      </w:pPr>
                      <w:r>
                        <w:rPr>
                          <w:sz w:val="20"/>
                          <w:szCs w:val="20"/>
                        </w:rPr>
                        <w:t>Calls to Fixed services:  17.87%</w:t>
                      </w:r>
                    </w:p>
                    <w:p w:rsidR="00E81B3B" w:rsidRDefault="00E81B3B">
                      <w:pPr>
                        <w:rPr>
                          <w:sz w:val="20"/>
                          <w:szCs w:val="20"/>
                        </w:rPr>
                      </w:pPr>
                      <w:r>
                        <w:rPr>
                          <w:sz w:val="20"/>
                          <w:szCs w:val="20"/>
                        </w:rPr>
                        <w:t>On-Net Calls:                     9.17%</w:t>
                      </w:r>
                    </w:p>
                    <w:p w:rsidR="00E81B3B" w:rsidRDefault="00E81B3B">
                      <w:pPr>
                        <w:rPr>
                          <w:sz w:val="20"/>
                          <w:szCs w:val="20"/>
                        </w:rPr>
                      </w:pPr>
                      <w:r>
                        <w:rPr>
                          <w:sz w:val="20"/>
                          <w:szCs w:val="20"/>
                        </w:rPr>
                        <w:t>Off-Net Calls:                   17.49%</w:t>
                      </w:r>
                    </w:p>
                    <w:p w:rsidR="00E81B3B" w:rsidRDefault="00E81B3B">
                      <w:pPr>
                        <w:rPr>
                          <w:sz w:val="20"/>
                          <w:szCs w:val="20"/>
                        </w:rPr>
                      </w:pPr>
                      <w:r>
                        <w:rPr>
                          <w:sz w:val="20"/>
                          <w:szCs w:val="20"/>
                        </w:rPr>
                        <w:t>Int’l Calls – Outgoing:     23.65%</w:t>
                      </w:r>
                    </w:p>
                    <w:p w:rsidR="00E81B3B" w:rsidRDefault="00E81B3B">
                      <w:pPr>
                        <w:rPr>
                          <w:sz w:val="20"/>
                          <w:szCs w:val="20"/>
                        </w:rPr>
                      </w:pPr>
                      <w:r>
                        <w:rPr>
                          <w:sz w:val="20"/>
                          <w:szCs w:val="20"/>
                        </w:rPr>
                        <w:t>Int’l Calls – Incoming:    -15.57%</w:t>
                      </w:r>
                    </w:p>
                    <w:p w:rsidR="00E81B3B" w:rsidRDefault="00E81B3B">
                      <w:pPr>
                        <w:rPr>
                          <w:sz w:val="20"/>
                          <w:szCs w:val="20"/>
                        </w:rPr>
                      </w:pPr>
                      <w:r>
                        <w:rPr>
                          <w:sz w:val="20"/>
                          <w:szCs w:val="20"/>
                        </w:rPr>
                        <w:t>SMS &amp; other Mobile Data Traffic:  -9.20%</w:t>
                      </w:r>
                    </w:p>
                    <w:p w:rsidR="00E81B3B" w:rsidRPr="00D64B32" w:rsidRDefault="00E81B3B">
                      <w:pPr>
                        <w:rPr>
                          <w:sz w:val="20"/>
                          <w:szCs w:val="20"/>
                        </w:rPr>
                      </w:pPr>
                    </w:p>
                  </w:txbxContent>
                </v:textbox>
              </v:shape>
            </w:pict>
          </mc:Fallback>
        </mc:AlternateContent>
      </w:r>
      <w:r w:rsidR="00A30FF4">
        <w:rPr>
          <w:noProof/>
          <w:lang w:val="en-GB" w:eastAsia="en-GB"/>
        </w:rPr>
        <w:drawing>
          <wp:inline distT="0" distB="0" distL="0" distR="0" wp14:anchorId="2C9C2857" wp14:editId="7DC45004">
            <wp:extent cx="6724650" cy="4219575"/>
            <wp:effectExtent l="0" t="0" r="0"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2B11" w:rsidRDefault="00052B11">
      <w:pPr>
        <w:rPr>
          <w:noProof/>
          <w:lang w:val="en-US"/>
        </w:rPr>
      </w:pPr>
    </w:p>
    <w:p w:rsidR="00D64B32" w:rsidRPr="002C2B20" w:rsidRDefault="00D64B32" w:rsidP="002C2B20">
      <w:pPr>
        <w:pStyle w:val="Heading2"/>
        <w:rPr>
          <w:b/>
        </w:rPr>
      </w:pPr>
      <w:bookmarkStart w:id="10" w:name="_Toc7797971"/>
      <w:r w:rsidRPr="002C2B20">
        <w:rPr>
          <w:b/>
        </w:rPr>
        <w:t>Figure 8:</w:t>
      </w:r>
      <w:r w:rsidRPr="002C2B20">
        <w:rPr>
          <w:b/>
        </w:rPr>
        <w:tab/>
        <w:t>Mobile Services Average Revenue per User</w:t>
      </w:r>
      <w:r w:rsidR="00A23CAD">
        <w:rPr>
          <w:b/>
        </w:rPr>
        <w:t xml:space="preserve"> (ARPU)</w:t>
      </w:r>
      <w:bookmarkEnd w:id="10"/>
    </w:p>
    <w:p w:rsidR="00D64B32" w:rsidRDefault="00D64B32">
      <w:pPr>
        <w:rPr>
          <w:noProof/>
          <w:lang w:val="en-US"/>
        </w:rPr>
      </w:pPr>
      <w:r>
        <w:rPr>
          <w:noProof/>
          <w:lang w:val="en-GB" w:eastAsia="en-GB"/>
        </w:rPr>
        <mc:AlternateContent>
          <mc:Choice Requires="wps">
            <w:drawing>
              <wp:anchor distT="0" distB="0" distL="114300" distR="114300" simplePos="0" relativeHeight="251666432" behindDoc="0" locked="0" layoutInCell="1" allowOverlap="1" wp14:anchorId="637458A8" wp14:editId="584B61CF">
                <wp:simplePos x="0" y="0"/>
                <wp:positionH relativeFrom="column">
                  <wp:posOffset>6724650</wp:posOffset>
                </wp:positionH>
                <wp:positionV relativeFrom="paragraph">
                  <wp:posOffset>344805</wp:posOffset>
                </wp:positionV>
                <wp:extent cx="1933575" cy="2257425"/>
                <wp:effectExtent l="133350" t="133350" r="142875" b="161925"/>
                <wp:wrapNone/>
                <wp:docPr id="16" name="Text Box 16"/>
                <wp:cNvGraphicFramePr/>
                <a:graphic xmlns:a="http://schemas.openxmlformats.org/drawingml/2006/main">
                  <a:graphicData uri="http://schemas.microsoft.com/office/word/2010/wordprocessingShape">
                    <wps:wsp>
                      <wps:cNvSpPr txBox="1"/>
                      <wps:spPr>
                        <a:xfrm>
                          <a:off x="0" y="0"/>
                          <a:ext cx="1933575" cy="225742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347A54" w:rsidRDefault="00E81B3B">
                            <w:pPr>
                              <w:rPr>
                                <w:b/>
                                <w:sz w:val="20"/>
                                <w:szCs w:val="20"/>
                                <w:u w:val="single"/>
                              </w:rPr>
                            </w:pPr>
                            <w:r w:rsidRPr="00347A54">
                              <w:rPr>
                                <w:b/>
                                <w:sz w:val="20"/>
                                <w:szCs w:val="20"/>
                                <w:u w:val="single"/>
                              </w:rPr>
                              <w:t>% Change Q</w:t>
                            </w:r>
                            <w:r>
                              <w:rPr>
                                <w:b/>
                                <w:sz w:val="20"/>
                                <w:szCs w:val="20"/>
                                <w:u w:val="single"/>
                              </w:rPr>
                              <w:t>4</w:t>
                            </w:r>
                            <w:r w:rsidRPr="00347A54">
                              <w:rPr>
                                <w:b/>
                                <w:sz w:val="20"/>
                                <w:szCs w:val="20"/>
                                <w:u w:val="single"/>
                              </w:rPr>
                              <w:t xml:space="preserve"> ‘1</w:t>
                            </w:r>
                            <w:r>
                              <w:rPr>
                                <w:b/>
                                <w:sz w:val="20"/>
                                <w:szCs w:val="20"/>
                                <w:u w:val="single"/>
                              </w:rPr>
                              <w:t>8</w:t>
                            </w:r>
                            <w:r w:rsidRPr="00347A54">
                              <w:rPr>
                                <w:b/>
                                <w:sz w:val="20"/>
                                <w:szCs w:val="20"/>
                                <w:u w:val="single"/>
                              </w:rPr>
                              <w:t>/ Q</w:t>
                            </w:r>
                            <w:r>
                              <w:rPr>
                                <w:b/>
                                <w:sz w:val="20"/>
                                <w:szCs w:val="20"/>
                                <w:u w:val="single"/>
                              </w:rPr>
                              <w:t>3</w:t>
                            </w:r>
                            <w:r w:rsidRPr="00347A54">
                              <w:rPr>
                                <w:b/>
                                <w:sz w:val="20"/>
                                <w:szCs w:val="20"/>
                                <w:u w:val="single"/>
                              </w:rPr>
                              <w:t xml:space="preserve"> ‘1</w:t>
                            </w:r>
                            <w:r>
                              <w:rPr>
                                <w:b/>
                                <w:sz w:val="20"/>
                                <w:szCs w:val="20"/>
                                <w:u w:val="single"/>
                              </w:rPr>
                              <w:t>8</w:t>
                            </w:r>
                          </w:p>
                          <w:p w:rsidR="00E81B3B" w:rsidRPr="00347A54" w:rsidRDefault="00E81B3B">
                            <w:pPr>
                              <w:rPr>
                                <w:sz w:val="20"/>
                                <w:szCs w:val="20"/>
                              </w:rPr>
                            </w:pPr>
                            <w:r w:rsidRPr="00347A54">
                              <w:rPr>
                                <w:sz w:val="20"/>
                                <w:szCs w:val="20"/>
                              </w:rPr>
                              <w:t xml:space="preserve">Calls to fixed </w:t>
                            </w:r>
                            <w:r>
                              <w:rPr>
                                <w:sz w:val="20"/>
                                <w:szCs w:val="20"/>
                              </w:rPr>
                              <w:t>service</w:t>
                            </w:r>
                            <w:r w:rsidRPr="00347A54">
                              <w:rPr>
                                <w:sz w:val="20"/>
                                <w:szCs w:val="20"/>
                              </w:rPr>
                              <w:t>:</w:t>
                            </w:r>
                            <w:r>
                              <w:rPr>
                                <w:sz w:val="20"/>
                                <w:szCs w:val="20"/>
                              </w:rPr>
                              <w:t xml:space="preserve">        26.56%</w:t>
                            </w:r>
                          </w:p>
                          <w:p w:rsidR="00E81B3B" w:rsidRPr="00347A54" w:rsidRDefault="00E81B3B">
                            <w:pPr>
                              <w:rPr>
                                <w:sz w:val="20"/>
                                <w:szCs w:val="20"/>
                              </w:rPr>
                            </w:pPr>
                            <w:r w:rsidRPr="00347A54">
                              <w:rPr>
                                <w:sz w:val="20"/>
                                <w:szCs w:val="20"/>
                              </w:rPr>
                              <w:t>On-Net Calls:</w:t>
                            </w:r>
                            <w:r>
                              <w:rPr>
                                <w:sz w:val="20"/>
                                <w:szCs w:val="20"/>
                              </w:rPr>
                              <w:t xml:space="preserve">                       17.23%</w:t>
                            </w:r>
                          </w:p>
                          <w:p w:rsidR="00E81B3B" w:rsidRPr="00347A54" w:rsidRDefault="00E81B3B">
                            <w:pPr>
                              <w:rPr>
                                <w:sz w:val="20"/>
                                <w:szCs w:val="20"/>
                              </w:rPr>
                            </w:pPr>
                            <w:r w:rsidRPr="00347A54">
                              <w:rPr>
                                <w:sz w:val="20"/>
                                <w:szCs w:val="20"/>
                              </w:rPr>
                              <w:t>Off-Net Calls:</w:t>
                            </w:r>
                            <w:r>
                              <w:rPr>
                                <w:sz w:val="20"/>
                                <w:szCs w:val="20"/>
                              </w:rPr>
                              <w:t xml:space="preserve">                      26.16%</w:t>
                            </w:r>
                          </w:p>
                          <w:p w:rsidR="00E81B3B" w:rsidRPr="00347A54" w:rsidRDefault="00E81B3B">
                            <w:pPr>
                              <w:rPr>
                                <w:sz w:val="20"/>
                                <w:szCs w:val="20"/>
                              </w:rPr>
                            </w:pPr>
                            <w:r w:rsidRPr="00347A54">
                              <w:rPr>
                                <w:sz w:val="20"/>
                                <w:szCs w:val="20"/>
                              </w:rPr>
                              <w:t>Int’l Calls – Outgoing</w:t>
                            </w:r>
                            <w:r>
                              <w:rPr>
                                <w:sz w:val="20"/>
                                <w:szCs w:val="20"/>
                              </w:rPr>
                              <w:t>:         32.77%</w:t>
                            </w:r>
                          </w:p>
                          <w:p w:rsidR="00E81B3B" w:rsidRPr="00347A54" w:rsidRDefault="00E81B3B">
                            <w:pPr>
                              <w:rPr>
                                <w:sz w:val="20"/>
                                <w:szCs w:val="20"/>
                              </w:rPr>
                            </w:pPr>
                            <w:r w:rsidRPr="00347A54">
                              <w:rPr>
                                <w:sz w:val="20"/>
                                <w:szCs w:val="20"/>
                              </w:rPr>
                              <w:t>Int’l Calls – Incoming:</w:t>
                            </w:r>
                            <w:r>
                              <w:rPr>
                                <w:sz w:val="20"/>
                                <w:szCs w:val="20"/>
                              </w:rPr>
                              <w:t xml:space="preserve">         - 9.34%</w:t>
                            </w:r>
                          </w:p>
                          <w:p w:rsidR="00E81B3B" w:rsidRPr="00347A54" w:rsidRDefault="00E81B3B">
                            <w:pPr>
                              <w:rPr>
                                <w:sz w:val="20"/>
                                <w:szCs w:val="20"/>
                              </w:rPr>
                            </w:pPr>
                            <w:r w:rsidRPr="00347A54">
                              <w:rPr>
                                <w:sz w:val="20"/>
                                <w:szCs w:val="20"/>
                              </w:rPr>
                              <w:t>SMS</w:t>
                            </w:r>
                            <w:r>
                              <w:rPr>
                                <w:sz w:val="20"/>
                                <w:szCs w:val="20"/>
                              </w:rPr>
                              <w:t xml:space="preserve"> &amp; other Mobile Data</w:t>
                            </w:r>
                            <w:r w:rsidRPr="00347A54">
                              <w:rPr>
                                <w:sz w:val="20"/>
                                <w:szCs w:val="20"/>
                              </w:rPr>
                              <w:t xml:space="preserve"> Traffic:</w:t>
                            </w:r>
                            <w:r>
                              <w:rPr>
                                <w:sz w:val="20"/>
                                <w:szCs w:val="20"/>
                              </w:rPr>
                              <w:t xml:space="preserve">                    -2.50%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7458A8" id="Text Box 16" o:spid="_x0000_s1035" type="#_x0000_t202" style="position:absolute;margin-left:529.5pt;margin-top:27.15pt;width:152.25pt;height:17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" fillcolor="white [3201]" stroked="f" strokeweight=".5pt">
                <v:shadow on="t" color="black" offset="0,1pt"/>
                <v:textbox>
                  <w:txbxContent>
                    <w:p w:rsidR="00E81B3B" w:rsidRPr="00347A54" w:rsidRDefault="00E81B3B">
                      <w:pPr>
                        <w:rPr>
                          <w:b/>
                          <w:sz w:val="20"/>
                          <w:szCs w:val="20"/>
                          <w:u w:val="single"/>
                        </w:rPr>
                      </w:pPr>
                      <w:r w:rsidRPr="00347A54">
                        <w:rPr>
                          <w:b/>
                          <w:sz w:val="20"/>
                          <w:szCs w:val="20"/>
                          <w:u w:val="single"/>
                        </w:rPr>
                        <w:t>% Change Q</w:t>
                      </w:r>
                      <w:r>
                        <w:rPr>
                          <w:b/>
                          <w:sz w:val="20"/>
                          <w:szCs w:val="20"/>
                          <w:u w:val="single"/>
                        </w:rPr>
                        <w:t>4</w:t>
                      </w:r>
                      <w:r w:rsidRPr="00347A54">
                        <w:rPr>
                          <w:b/>
                          <w:sz w:val="20"/>
                          <w:szCs w:val="20"/>
                          <w:u w:val="single"/>
                        </w:rPr>
                        <w:t xml:space="preserve"> ‘1</w:t>
                      </w:r>
                      <w:r>
                        <w:rPr>
                          <w:b/>
                          <w:sz w:val="20"/>
                          <w:szCs w:val="20"/>
                          <w:u w:val="single"/>
                        </w:rPr>
                        <w:t>8</w:t>
                      </w:r>
                      <w:r w:rsidRPr="00347A54">
                        <w:rPr>
                          <w:b/>
                          <w:sz w:val="20"/>
                          <w:szCs w:val="20"/>
                          <w:u w:val="single"/>
                        </w:rPr>
                        <w:t>/ Q</w:t>
                      </w:r>
                      <w:r>
                        <w:rPr>
                          <w:b/>
                          <w:sz w:val="20"/>
                          <w:szCs w:val="20"/>
                          <w:u w:val="single"/>
                        </w:rPr>
                        <w:t>3</w:t>
                      </w:r>
                      <w:r w:rsidRPr="00347A54">
                        <w:rPr>
                          <w:b/>
                          <w:sz w:val="20"/>
                          <w:szCs w:val="20"/>
                          <w:u w:val="single"/>
                        </w:rPr>
                        <w:t xml:space="preserve"> ‘1</w:t>
                      </w:r>
                      <w:r>
                        <w:rPr>
                          <w:b/>
                          <w:sz w:val="20"/>
                          <w:szCs w:val="20"/>
                          <w:u w:val="single"/>
                        </w:rPr>
                        <w:t>8</w:t>
                      </w:r>
                    </w:p>
                    <w:p w:rsidR="00E81B3B" w:rsidRPr="00347A54" w:rsidRDefault="00E81B3B">
                      <w:pPr>
                        <w:rPr>
                          <w:sz w:val="20"/>
                          <w:szCs w:val="20"/>
                        </w:rPr>
                      </w:pPr>
                      <w:r w:rsidRPr="00347A54">
                        <w:rPr>
                          <w:sz w:val="20"/>
                          <w:szCs w:val="20"/>
                        </w:rPr>
                        <w:t xml:space="preserve">Calls to fixed </w:t>
                      </w:r>
                      <w:r>
                        <w:rPr>
                          <w:sz w:val="20"/>
                          <w:szCs w:val="20"/>
                        </w:rPr>
                        <w:t>service</w:t>
                      </w:r>
                      <w:r w:rsidRPr="00347A54">
                        <w:rPr>
                          <w:sz w:val="20"/>
                          <w:szCs w:val="20"/>
                        </w:rPr>
                        <w:t>:</w:t>
                      </w:r>
                      <w:r>
                        <w:rPr>
                          <w:sz w:val="20"/>
                          <w:szCs w:val="20"/>
                        </w:rPr>
                        <w:t xml:space="preserve">        26.56%</w:t>
                      </w:r>
                    </w:p>
                    <w:p w:rsidR="00E81B3B" w:rsidRPr="00347A54" w:rsidRDefault="00E81B3B">
                      <w:pPr>
                        <w:rPr>
                          <w:sz w:val="20"/>
                          <w:szCs w:val="20"/>
                        </w:rPr>
                      </w:pPr>
                      <w:r w:rsidRPr="00347A54">
                        <w:rPr>
                          <w:sz w:val="20"/>
                          <w:szCs w:val="20"/>
                        </w:rPr>
                        <w:t>On-Net Calls:</w:t>
                      </w:r>
                      <w:r>
                        <w:rPr>
                          <w:sz w:val="20"/>
                          <w:szCs w:val="20"/>
                        </w:rPr>
                        <w:t xml:space="preserve">                       17.23%</w:t>
                      </w:r>
                    </w:p>
                    <w:p w:rsidR="00E81B3B" w:rsidRPr="00347A54" w:rsidRDefault="00E81B3B">
                      <w:pPr>
                        <w:rPr>
                          <w:sz w:val="20"/>
                          <w:szCs w:val="20"/>
                        </w:rPr>
                      </w:pPr>
                      <w:r w:rsidRPr="00347A54">
                        <w:rPr>
                          <w:sz w:val="20"/>
                          <w:szCs w:val="20"/>
                        </w:rPr>
                        <w:t>Off-Net Calls:</w:t>
                      </w:r>
                      <w:r>
                        <w:rPr>
                          <w:sz w:val="20"/>
                          <w:szCs w:val="20"/>
                        </w:rPr>
                        <w:t xml:space="preserve">                      26.16%</w:t>
                      </w:r>
                    </w:p>
                    <w:p w:rsidR="00E81B3B" w:rsidRPr="00347A54" w:rsidRDefault="00E81B3B">
                      <w:pPr>
                        <w:rPr>
                          <w:sz w:val="20"/>
                          <w:szCs w:val="20"/>
                        </w:rPr>
                      </w:pPr>
                      <w:r w:rsidRPr="00347A54">
                        <w:rPr>
                          <w:sz w:val="20"/>
                          <w:szCs w:val="20"/>
                        </w:rPr>
                        <w:t>Int’l Calls – Outgoing</w:t>
                      </w:r>
                      <w:r>
                        <w:rPr>
                          <w:sz w:val="20"/>
                          <w:szCs w:val="20"/>
                        </w:rPr>
                        <w:t>:         32.77%</w:t>
                      </w:r>
                    </w:p>
                    <w:p w:rsidR="00E81B3B" w:rsidRPr="00347A54" w:rsidRDefault="00E81B3B">
                      <w:pPr>
                        <w:rPr>
                          <w:sz w:val="20"/>
                          <w:szCs w:val="20"/>
                        </w:rPr>
                      </w:pPr>
                      <w:r w:rsidRPr="00347A54">
                        <w:rPr>
                          <w:sz w:val="20"/>
                          <w:szCs w:val="20"/>
                        </w:rPr>
                        <w:t>Int’l Calls – Incoming:</w:t>
                      </w:r>
                      <w:r>
                        <w:rPr>
                          <w:sz w:val="20"/>
                          <w:szCs w:val="20"/>
                        </w:rPr>
                        <w:t xml:space="preserve">         - 9.34%</w:t>
                      </w:r>
                    </w:p>
                    <w:p w:rsidR="00E81B3B" w:rsidRPr="00347A54" w:rsidRDefault="00E81B3B">
                      <w:pPr>
                        <w:rPr>
                          <w:sz w:val="20"/>
                          <w:szCs w:val="20"/>
                        </w:rPr>
                      </w:pPr>
                      <w:r w:rsidRPr="00347A54">
                        <w:rPr>
                          <w:sz w:val="20"/>
                          <w:szCs w:val="20"/>
                        </w:rPr>
                        <w:t>SMS</w:t>
                      </w:r>
                      <w:r>
                        <w:rPr>
                          <w:sz w:val="20"/>
                          <w:szCs w:val="20"/>
                        </w:rPr>
                        <w:t xml:space="preserve"> &amp; other Mobile Data</w:t>
                      </w:r>
                      <w:r w:rsidRPr="00347A54">
                        <w:rPr>
                          <w:sz w:val="20"/>
                          <w:szCs w:val="20"/>
                        </w:rPr>
                        <w:t xml:space="preserve"> Traffic:</w:t>
                      </w:r>
                      <w:r>
                        <w:rPr>
                          <w:sz w:val="20"/>
                          <w:szCs w:val="20"/>
                        </w:rPr>
                        <w:t xml:space="preserve">                    -2.50%</w:t>
                      </w:r>
                    </w:p>
                  </w:txbxContent>
                </v:textbox>
              </v:shape>
            </w:pict>
          </mc:Fallback>
        </mc:AlternateContent>
      </w:r>
    </w:p>
    <w:p w:rsidR="009051C6" w:rsidRDefault="00DC04EC">
      <w:pPr>
        <w:rPr>
          <w:noProof/>
          <w:lang w:val="en-US"/>
        </w:rPr>
      </w:pPr>
      <w:r>
        <w:rPr>
          <w:noProof/>
          <w:lang w:val="en-GB" w:eastAsia="en-GB"/>
        </w:rPr>
        <w:drawing>
          <wp:inline distT="0" distB="0" distL="0" distR="0" wp14:anchorId="3BBF8151" wp14:editId="3CD0DC23">
            <wp:extent cx="6581775" cy="42386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051C6" w:rsidRDefault="009051C6"/>
    <w:p w:rsidR="00347A54" w:rsidRDefault="00347A54"/>
    <w:p w:rsidR="00D140A8" w:rsidRDefault="00D140A8"/>
    <w:p w:rsidR="00347A54" w:rsidRDefault="00347A54"/>
    <w:p w:rsidR="00347A54" w:rsidRDefault="00347A54"/>
    <w:p w:rsidR="0005724C" w:rsidRDefault="0005724C"/>
    <w:p w:rsidR="0005724C" w:rsidRDefault="0005724C"/>
    <w:p w:rsidR="00347A54" w:rsidRDefault="00347A54"/>
    <w:p w:rsidR="00347A54" w:rsidRDefault="00347A54"/>
    <w:p w:rsidR="00DC67AB" w:rsidRDefault="00DC67AB"/>
    <w:p w:rsidR="00347A54" w:rsidRPr="002C2B20" w:rsidRDefault="00347A54" w:rsidP="002C2B20">
      <w:pPr>
        <w:pStyle w:val="Heading1"/>
        <w:jc w:val="center"/>
        <w:rPr>
          <w:b/>
          <w:sz w:val="96"/>
          <w:szCs w:val="96"/>
        </w:rPr>
      </w:pPr>
      <w:bookmarkStart w:id="11" w:name="_Toc7797972"/>
      <w:r w:rsidRPr="002C2B20">
        <w:rPr>
          <w:b/>
          <w:sz w:val="96"/>
          <w:szCs w:val="96"/>
        </w:rPr>
        <w:t xml:space="preserve">Internet </w:t>
      </w:r>
      <w:r w:rsidR="001130F6">
        <w:rPr>
          <w:b/>
          <w:sz w:val="96"/>
          <w:szCs w:val="96"/>
        </w:rPr>
        <w:t xml:space="preserve">Market </w:t>
      </w:r>
      <w:r w:rsidRPr="002C2B20">
        <w:rPr>
          <w:b/>
          <w:sz w:val="96"/>
          <w:szCs w:val="96"/>
        </w:rPr>
        <w:t>Data</w:t>
      </w:r>
      <w:bookmarkEnd w:id="11"/>
    </w:p>
    <w:p w:rsidR="00347A54" w:rsidRDefault="00347A54"/>
    <w:p w:rsidR="00347A54" w:rsidRDefault="00347A54"/>
    <w:p w:rsidR="00347A54" w:rsidRDefault="00347A54"/>
    <w:p w:rsidR="00347A54" w:rsidRDefault="00347A54"/>
    <w:p w:rsidR="00347A54" w:rsidRDefault="00347A54"/>
    <w:p w:rsidR="00347A54" w:rsidRDefault="00347A54"/>
    <w:p w:rsidR="00347A54" w:rsidRDefault="00347A54"/>
    <w:p w:rsidR="00347A54" w:rsidRDefault="00347A54"/>
    <w:p w:rsidR="00347A54" w:rsidRPr="002C2B20" w:rsidRDefault="00347A54" w:rsidP="002C2B20">
      <w:pPr>
        <w:pStyle w:val="Heading2"/>
        <w:rPr>
          <w:b/>
        </w:rPr>
      </w:pPr>
      <w:bookmarkStart w:id="12" w:name="_Toc7797973"/>
      <w:r w:rsidRPr="002C2B20">
        <w:rPr>
          <w:b/>
        </w:rPr>
        <w:t>Figure 9:</w:t>
      </w:r>
      <w:r w:rsidRPr="002C2B20">
        <w:rPr>
          <w:b/>
        </w:rPr>
        <w:tab/>
        <w:t xml:space="preserve">Internet </w:t>
      </w:r>
      <w:r w:rsidR="00567520">
        <w:rPr>
          <w:b/>
        </w:rPr>
        <w:t xml:space="preserve">Services </w:t>
      </w:r>
      <w:r w:rsidRPr="002C2B20">
        <w:rPr>
          <w:b/>
        </w:rPr>
        <w:t>Subscriptions</w:t>
      </w:r>
      <w:bookmarkEnd w:id="12"/>
    </w:p>
    <w:p w:rsidR="00575201" w:rsidRDefault="00575201">
      <w:pPr>
        <w:rPr>
          <w:noProof/>
          <w:lang w:val="en-US"/>
        </w:rPr>
      </w:pPr>
    </w:p>
    <w:p w:rsidR="00385938" w:rsidRDefault="008E7182">
      <w:r>
        <w:rPr>
          <w:noProof/>
          <w:lang w:val="en-GB" w:eastAsia="en-GB"/>
        </w:rPr>
        <w:drawing>
          <wp:inline distT="0" distB="0" distL="0" distR="0" wp14:anchorId="152134C3" wp14:editId="35F1CAFF">
            <wp:extent cx="6543675" cy="42767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F2ABB">
        <w:rPr>
          <w:noProof/>
          <w:lang w:val="en-GB" w:eastAsia="en-GB"/>
        </w:rPr>
        <mc:AlternateContent>
          <mc:Choice Requires="wps">
            <w:drawing>
              <wp:anchor distT="0" distB="0" distL="114300" distR="114300" simplePos="0" relativeHeight="251667456" behindDoc="0" locked="0" layoutInCell="1" allowOverlap="1" wp14:anchorId="57ABEA23" wp14:editId="5CAC6A57">
                <wp:simplePos x="0" y="0"/>
                <wp:positionH relativeFrom="margin">
                  <wp:posOffset>6762750</wp:posOffset>
                </wp:positionH>
                <wp:positionV relativeFrom="paragraph">
                  <wp:posOffset>146050</wp:posOffset>
                </wp:positionV>
                <wp:extent cx="2038350" cy="1743075"/>
                <wp:effectExtent l="133350" t="133350" r="133350" b="161925"/>
                <wp:wrapNone/>
                <wp:docPr id="18" name="Text Box 18"/>
                <wp:cNvGraphicFramePr/>
                <a:graphic xmlns:a="http://schemas.openxmlformats.org/drawingml/2006/main">
                  <a:graphicData uri="http://schemas.microsoft.com/office/word/2010/wordprocessingShape">
                    <wps:wsp>
                      <wps:cNvSpPr txBox="1"/>
                      <wps:spPr>
                        <a:xfrm>
                          <a:off x="0" y="0"/>
                          <a:ext cx="2038350" cy="1743075"/>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rsidR="00E81B3B" w:rsidRPr="00F32736" w:rsidRDefault="00E81B3B">
                            <w:pPr>
                              <w:rPr>
                                <w:b/>
                                <w:sz w:val="20"/>
                                <w:szCs w:val="20"/>
                                <w:u w:val="single"/>
                              </w:rPr>
                            </w:pPr>
                            <w:r w:rsidRPr="00F32736">
                              <w:rPr>
                                <w:b/>
                                <w:sz w:val="20"/>
                                <w:szCs w:val="20"/>
                                <w:u w:val="single"/>
                              </w:rPr>
                              <w:t>% Change Q</w:t>
                            </w:r>
                            <w:r>
                              <w:rPr>
                                <w:b/>
                                <w:sz w:val="20"/>
                                <w:szCs w:val="20"/>
                                <w:u w:val="single"/>
                              </w:rPr>
                              <w:t>4</w:t>
                            </w:r>
                            <w:r w:rsidRPr="00F32736">
                              <w:rPr>
                                <w:b/>
                                <w:sz w:val="20"/>
                                <w:szCs w:val="20"/>
                                <w:u w:val="single"/>
                              </w:rPr>
                              <w:t xml:space="preserve"> ‘1</w:t>
                            </w:r>
                            <w:r>
                              <w:rPr>
                                <w:b/>
                                <w:sz w:val="20"/>
                                <w:szCs w:val="20"/>
                                <w:u w:val="single"/>
                              </w:rPr>
                              <w:t>8</w:t>
                            </w:r>
                            <w:r w:rsidRPr="00F32736">
                              <w:rPr>
                                <w:b/>
                                <w:sz w:val="20"/>
                                <w:szCs w:val="20"/>
                                <w:u w:val="single"/>
                              </w:rPr>
                              <w:t>/ Q</w:t>
                            </w:r>
                            <w:r>
                              <w:rPr>
                                <w:b/>
                                <w:sz w:val="20"/>
                                <w:szCs w:val="20"/>
                                <w:u w:val="single"/>
                              </w:rPr>
                              <w:t>3</w:t>
                            </w:r>
                            <w:r w:rsidRPr="00F32736">
                              <w:rPr>
                                <w:b/>
                                <w:sz w:val="20"/>
                                <w:szCs w:val="20"/>
                                <w:u w:val="single"/>
                              </w:rPr>
                              <w:t xml:space="preserve"> ‘1</w:t>
                            </w:r>
                            <w:r>
                              <w:rPr>
                                <w:b/>
                                <w:sz w:val="20"/>
                                <w:szCs w:val="20"/>
                                <w:u w:val="single"/>
                              </w:rPr>
                              <w:t>8</w:t>
                            </w:r>
                          </w:p>
                          <w:p w:rsidR="00E81B3B" w:rsidRPr="00F32736" w:rsidRDefault="00E81B3B">
                            <w:pPr>
                              <w:rPr>
                                <w:sz w:val="20"/>
                                <w:szCs w:val="20"/>
                              </w:rPr>
                            </w:pPr>
                            <w:r w:rsidRPr="00F32736">
                              <w:rPr>
                                <w:sz w:val="20"/>
                                <w:szCs w:val="20"/>
                              </w:rPr>
                              <w:t>Total Subscription</w:t>
                            </w:r>
                            <w:r>
                              <w:rPr>
                                <w:sz w:val="20"/>
                                <w:szCs w:val="20"/>
                              </w:rPr>
                              <w:t>s</w:t>
                            </w:r>
                            <w:r w:rsidRPr="00F32736">
                              <w:rPr>
                                <w:sz w:val="20"/>
                                <w:szCs w:val="20"/>
                              </w:rPr>
                              <w:t>:</w:t>
                            </w:r>
                            <w:r>
                              <w:rPr>
                                <w:sz w:val="20"/>
                                <w:szCs w:val="20"/>
                              </w:rPr>
                              <w:t xml:space="preserve">               -7.00%</w:t>
                            </w:r>
                          </w:p>
                          <w:p w:rsidR="00E81B3B" w:rsidRPr="00F32736" w:rsidRDefault="00E81B3B">
                            <w:pPr>
                              <w:rPr>
                                <w:sz w:val="20"/>
                                <w:szCs w:val="20"/>
                              </w:rPr>
                            </w:pPr>
                            <w:r>
                              <w:rPr>
                                <w:sz w:val="20"/>
                                <w:szCs w:val="20"/>
                              </w:rPr>
                              <w:t xml:space="preserve">Fixed </w:t>
                            </w:r>
                            <w:r w:rsidRPr="00F32736">
                              <w:rPr>
                                <w:sz w:val="20"/>
                                <w:szCs w:val="20"/>
                              </w:rPr>
                              <w:t>Broadband (≥ 256k)</w:t>
                            </w:r>
                            <w:r>
                              <w:rPr>
                                <w:sz w:val="20"/>
                                <w:szCs w:val="20"/>
                              </w:rPr>
                              <w:t>:     1.96%</w:t>
                            </w:r>
                          </w:p>
                          <w:p w:rsidR="00E81B3B" w:rsidRPr="00F32736" w:rsidRDefault="00E81B3B">
                            <w:pPr>
                              <w:rPr>
                                <w:sz w:val="20"/>
                                <w:szCs w:val="20"/>
                              </w:rPr>
                            </w:pPr>
                            <w:r>
                              <w:rPr>
                                <w:sz w:val="20"/>
                                <w:szCs w:val="20"/>
                              </w:rPr>
                              <w:t>WAP &amp; Mobile Internet:       -8.25</w:t>
                            </w:r>
                            <w:r w:rsidRPr="00F32736">
                              <w:rPr>
                                <w:sz w:val="20"/>
                                <w:szCs w:val="20"/>
                              </w:rPr>
                              <w:t>%</w:t>
                            </w:r>
                          </w:p>
                          <w:p w:rsidR="00E81B3B" w:rsidRDefault="00E81B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BEA23" id="Text Box 18" o:spid="_x0000_s1036" type="#_x0000_t202" style="position:absolute;margin-left:532.5pt;margin-top:11.5pt;width:160.5pt;height:13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" fillcolor="white [3201]" stroked="f" strokeweight=".5pt">
                <v:shadow on="t" color="black" offset="0,1pt"/>
                <v:textbox>
                  <w:txbxContent>
                    <w:p w:rsidR="00E81B3B" w:rsidRPr="00F32736" w:rsidRDefault="00E81B3B">
                      <w:pPr>
                        <w:rPr>
                          <w:b/>
                          <w:sz w:val="20"/>
                          <w:szCs w:val="20"/>
                          <w:u w:val="single"/>
                        </w:rPr>
                      </w:pPr>
                      <w:r w:rsidRPr="00F32736">
                        <w:rPr>
                          <w:b/>
                          <w:sz w:val="20"/>
                          <w:szCs w:val="20"/>
                          <w:u w:val="single"/>
                        </w:rPr>
                        <w:t>% Change Q</w:t>
                      </w:r>
                      <w:r>
                        <w:rPr>
                          <w:b/>
                          <w:sz w:val="20"/>
                          <w:szCs w:val="20"/>
                          <w:u w:val="single"/>
                        </w:rPr>
                        <w:t>4</w:t>
                      </w:r>
                      <w:r w:rsidRPr="00F32736">
                        <w:rPr>
                          <w:b/>
                          <w:sz w:val="20"/>
                          <w:szCs w:val="20"/>
                          <w:u w:val="single"/>
                        </w:rPr>
                        <w:t xml:space="preserve"> ‘1</w:t>
                      </w:r>
                      <w:r>
                        <w:rPr>
                          <w:b/>
                          <w:sz w:val="20"/>
                          <w:szCs w:val="20"/>
                          <w:u w:val="single"/>
                        </w:rPr>
                        <w:t>8</w:t>
                      </w:r>
                      <w:r w:rsidRPr="00F32736">
                        <w:rPr>
                          <w:b/>
                          <w:sz w:val="20"/>
                          <w:szCs w:val="20"/>
                          <w:u w:val="single"/>
                        </w:rPr>
                        <w:t>/ Q</w:t>
                      </w:r>
                      <w:r>
                        <w:rPr>
                          <w:b/>
                          <w:sz w:val="20"/>
                          <w:szCs w:val="20"/>
                          <w:u w:val="single"/>
                        </w:rPr>
                        <w:t>3</w:t>
                      </w:r>
                      <w:r w:rsidRPr="00F32736">
                        <w:rPr>
                          <w:b/>
                          <w:sz w:val="20"/>
                          <w:szCs w:val="20"/>
                          <w:u w:val="single"/>
                        </w:rPr>
                        <w:t xml:space="preserve"> ‘1</w:t>
                      </w:r>
                      <w:r>
                        <w:rPr>
                          <w:b/>
                          <w:sz w:val="20"/>
                          <w:szCs w:val="20"/>
                          <w:u w:val="single"/>
                        </w:rPr>
                        <w:t>8</w:t>
                      </w:r>
                    </w:p>
                    <w:p w:rsidR="00E81B3B" w:rsidRPr="00F32736" w:rsidRDefault="00E81B3B">
                      <w:pPr>
                        <w:rPr>
                          <w:sz w:val="20"/>
                          <w:szCs w:val="20"/>
                        </w:rPr>
                      </w:pPr>
                      <w:r w:rsidRPr="00F32736">
                        <w:rPr>
                          <w:sz w:val="20"/>
                          <w:szCs w:val="20"/>
                        </w:rPr>
                        <w:t>Total Subscription</w:t>
                      </w:r>
                      <w:r>
                        <w:rPr>
                          <w:sz w:val="20"/>
                          <w:szCs w:val="20"/>
                        </w:rPr>
                        <w:t>s</w:t>
                      </w:r>
                      <w:r w:rsidRPr="00F32736">
                        <w:rPr>
                          <w:sz w:val="20"/>
                          <w:szCs w:val="20"/>
                        </w:rPr>
                        <w:t>:</w:t>
                      </w:r>
                      <w:r>
                        <w:rPr>
                          <w:sz w:val="20"/>
                          <w:szCs w:val="20"/>
                        </w:rPr>
                        <w:t xml:space="preserve">               -7.00%</w:t>
                      </w:r>
                    </w:p>
                    <w:p w:rsidR="00E81B3B" w:rsidRPr="00F32736" w:rsidRDefault="00E81B3B">
                      <w:pPr>
                        <w:rPr>
                          <w:sz w:val="20"/>
                          <w:szCs w:val="20"/>
                        </w:rPr>
                      </w:pPr>
                      <w:r>
                        <w:rPr>
                          <w:sz w:val="20"/>
                          <w:szCs w:val="20"/>
                        </w:rPr>
                        <w:t xml:space="preserve">Fixed </w:t>
                      </w:r>
                      <w:r w:rsidRPr="00F32736">
                        <w:rPr>
                          <w:sz w:val="20"/>
                          <w:szCs w:val="20"/>
                        </w:rPr>
                        <w:t>Broadband (≥ 256k)</w:t>
                      </w:r>
                      <w:r>
                        <w:rPr>
                          <w:sz w:val="20"/>
                          <w:szCs w:val="20"/>
                        </w:rPr>
                        <w:t>:     1.96%</w:t>
                      </w:r>
                    </w:p>
                    <w:p w:rsidR="00E81B3B" w:rsidRPr="00F32736" w:rsidRDefault="00E81B3B">
                      <w:pPr>
                        <w:rPr>
                          <w:sz w:val="20"/>
                          <w:szCs w:val="20"/>
                        </w:rPr>
                      </w:pPr>
                      <w:r>
                        <w:rPr>
                          <w:sz w:val="20"/>
                          <w:szCs w:val="20"/>
                        </w:rPr>
                        <w:t>WAP &amp; Mobile Internet:       -8.25</w:t>
                      </w:r>
                      <w:r w:rsidRPr="00F32736">
                        <w:rPr>
                          <w:sz w:val="20"/>
                          <w:szCs w:val="20"/>
                        </w:rPr>
                        <w:t>%</w:t>
                      </w:r>
                    </w:p>
                    <w:p w:rsidR="00E81B3B" w:rsidRDefault="00E81B3B"/>
                  </w:txbxContent>
                </v:textbox>
                <w10:wrap anchorx="margin"/>
              </v:shape>
            </w:pict>
          </mc:Fallback>
        </mc:AlternateContent>
      </w:r>
    </w:p>
    <w:p w:rsidR="00385938" w:rsidRDefault="00385938"/>
    <w:p w:rsidR="00F32736" w:rsidRDefault="00F32736"/>
    <w:p w:rsidR="00F32736" w:rsidRDefault="00F32736"/>
    <w:p w:rsidR="00F32736" w:rsidRDefault="00F32736"/>
    <w:p w:rsidR="00F32736" w:rsidRDefault="00F32736"/>
    <w:p w:rsidR="00F32736" w:rsidRDefault="00F32736"/>
    <w:p w:rsidR="00F32736" w:rsidRPr="002C2B20" w:rsidRDefault="00F32736" w:rsidP="002C2B20">
      <w:pPr>
        <w:pStyle w:val="Heading1"/>
        <w:jc w:val="center"/>
        <w:rPr>
          <w:b/>
          <w:sz w:val="96"/>
          <w:szCs w:val="96"/>
        </w:rPr>
      </w:pPr>
      <w:bookmarkStart w:id="13" w:name="_Toc7797974"/>
      <w:r w:rsidRPr="002C2B20">
        <w:rPr>
          <w:b/>
          <w:sz w:val="96"/>
          <w:szCs w:val="96"/>
        </w:rPr>
        <w:t>Industry Penetration and Concentration</w:t>
      </w:r>
      <w:bookmarkEnd w:id="13"/>
    </w:p>
    <w:p w:rsidR="00F32736" w:rsidRDefault="00F32736"/>
    <w:p w:rsidR="00F32736" w:rsidRDefault="00F32736"/>
    <w:p w:rsidR="00385938" w:rsidRDefault="00385938"/>
    <w:p w:rsidR="00711EF3" w:rsidRDefault="00711EF3"/>
    <w:p w:rsidR="00F32736" w:rsidRDefault="00F32736"/>
    <w:p w:rsidR="006E40AD" w:rsidRDefault="006E40AD"/>
    <w:p w:rsidR="00F32736" w:rsidRDefault="00F32736"/>
    <w:p w:rsidR="00F32736" w:rsidRDefault="00F32736" w:rsidP="002C2B20">
      <w:pPr>
        <w:pStyle w:val="Heading2"/>
        <w:rPr>
          <w:b/>
        </w:rPr>
      </w:pPr>
      <w:bookmarkStart w:id="14" w:name="_Toc7797975"/>
      <w:r w:rsidRPr="002C2B20">
        <w:rPr>
          <w:b/>
        </w:rPr>
        <w:t>Penetration</w:t>
      </w:r>
      <w:r w:rsidR="006B61AD">
        <w:rPr>
          <w:b/>
        </w:rPr>
        <w:t xml:space="preserve"> </w:t>
      </w:r>
      <w:r w:rsidR="006A79F1">
        <w:rPr>
          <w:b/>
        </w:rPr>
        <w:t>Rate</w:t>
      </w:r>
      <w:r w:rsidR="007053E6">
        <w:rPr>
          <w:rStyle w:val="FootnoteReference"/>
          <w:b/>
        </w:rPr>
        <w:footnoteReference w:id="2"/>
      </w:r>
      <w:bookmarkEnd w:id="14"/>
    </w:p>
    <w:tbl>
      <w:tblPr>
        <w:tblStyle w:val="GridTable4-Accent3"/>
        <w:tblW w:w="12895" w:type="dxa"/>
        <w:tblLook w:val="04A0" w:firstRow="1" w:lastRow="0" w:firstColumn="1" w:lastColumn="0" w:noHBand="0" w:noVBand="1"/>
      </w:tblPr>
      <w:tblGrid>
        <w:gridCol w:w="5442"/>
        <w:gridCol w:w="2049"/>
        <w:gridCol w:w="2577"/>
        <w:gridCol w:w="2827"/>
      </w:tblGrid>
      <w:tr w:rsidR="006B61AD" w:rsidTr="001130F6">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442" w:type="dxa"/>
          </w:tcPr>
          <w:p w:rsidR="003B428E" w:rsidRPr="001130F6" w:rsidRDefault="00527A2F">
            <w:pPr>
              <w:rPr>
                <w:color w:val="auto"/>
              </w:rPr>
            </w:pPr>
            <w:r>
              <w:rPr>
                <w:color w:val="auto"/>
              </w:rPr>
              <w:t>Penetration Rate</w:t>
            </w:r>
          </w:p>
        </w:tc>
        <w:tc>
          <w:tcPr>
            <w:tcW w:w="2049" w:type="dxa"/>
          </w:tcPr>
          <w:p w:rsidR="003B428E" w:rsidRPr="001130F6" w:rsidRDefault="00FB2A73" w:rsidP="008E7182">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8E7182">
              <w:rPr>
                <w:color w:val="auto"/>
              </w:rPr>
              <w:t>4</w:t>
            </w:r>
            <w:r w:rsidR="00575201">
              <w:rPr>
                <w:color w:val="auto"/>
              </w:rPr>
              <w:t xml:space="preserve"> 201</w:t>
            </w:r>
            <w:r w:rsidR="00401A77">
              <w:rPr>
                <w:color w:val="auto"/>
              </w:rPr>
              <w:t>7</w:t>
            </w:r>
          </w:p>
        </w:tc>
        <w:tc>
          <w:tcPr>
            <w:tcW w:w="2577" w:type="dxa"/>
          </w:tcPr>
          <w:p w:rsidR="003B428E" w:rsidRPr="001130F6" w:rsidRDefault="003B428E" w:rsidP="008E7182">
            <w:pPr>
              <w:jc w:val="right"/>
              <w:cnfStyle w:val="100000000000" w:firstRow="1" w:lastRow="0" w:firstColumn="0" w:lastColumn="0" w:oddVBand="0" w:evenVBand="0" w:oddHBand="0" w:evenHBand="0" w:firstRowFirstColumn="0" w:firstRowLastColumn="0" w:lastRowFirstColumn="0" w:lastRowLastColumn="0"/>
              <w:rPr>
                <w:color w:val="auto"/>
              </w:rPr>
            </w:pPr>
            <w:r w:rsidRPr="001130F6">
              <w:rPr>
                <w:color w:val="auto"/>
              </w:rPr>
              <w:t>Q</w:t>
            </w:r>
            <w:r w:rsidR="008E7182">
              <w:rPr>
                <w:color w:val="auto"/>
              </w:rPr>
              <w:t>3</w:t>
            </w:r>
            <w:r w:rsidRPr="001130F6">
              <w:rPr>
                <w:color w:val="auto"/>
              </w:rPr>
              <w:t xml:space="preserve"> 201</w:t>
            </w:r>
            <w:r w:rsidR="00FF1C69">
              <w:rPr>
                <w:color w:val="auto"/>
              </w:rPr>
              <w:t>8</w:t>
            </w:r>
          </w:p>
        </w:tc>
        <w:tc>
          <w:tcPr>
            <w:tcW w:w="2827" w:type="dxa"/>
          </w:tcPr>
          <w:p w:rsidR="003B428E" w:rsidRDefault="00630CF3" w:rsidP="008E7182">
            <w:pPr>
              <w:jc w:val="right"/>
              <w:cnfStyle w:val="100000000000" w:firstRow="1" w:lastRow="0" w:firstColumn="0" w:lastColumn="0" w:oddVBand="0" w:evenVBand="0" w:oddHBand="0" w:evenHBand="0" w:firstRowFirstColumn="0" w:firstRowLastColumn="0" w:lastRowFirstColumn="0" w:lastRowLastColumn="0"/>
            </w:pPr>
            <w:r w:rsidRPr="001130F6">
              <w:rPr>
                <w:color w:val="auto"/>
              </w:rPr>
              <w:t>Q</w:t>
            </w:r>
            <w:r w:rsidR="008E7182">
              <w:rPr>
                <w:color w:val="auto"/>
              </w:rPr>
              <w:t>4</w:t>
            </w:r>
            <w:r w:rsidRPr="001130F6">
              <w:rPr>
                <w:color w:val="auto"/>
              </w:rPr>
              <w:t xml:space="preserve"> </w:t>
            </w:r>
            <w:r w:rsidR="003B428E" w:rsidRPr="001130F6">
              <w:rPr>
                <w:color w:val="auto"/>
              </w:rPr>
              <w:t>201</w:t>
            </w:r>
            <w:r w:rsidR="00401A77">
              <w:rPr>
                <w:color w:val="auto"/>
              </w:rPr>
              <w:t>8</w:t>
            </w:r>
          </w:p>
        </w:tc>
      </w:tr>
      <w:tr w:rsidR="008E7182" w:rsidTr="001130F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42" w:type="dxa"/>
          </w:tcPr>
          <w:p w:rsidR="008E7182" w:rsidRPr="00A23CAD" w:rsidRDefault="008E7182" w:rsidP="008E7182">
            <w:r w:rsidRPr="00567520">
              <w:t>Fixed Subscription Penetration Rate</w:t>
            </w:r>
          </w:p>
        </w:tc>
        <w:tc>
          <w:tcPr>
            <w:tcW w:w="2049" w:type="dxa"/>
          </w:tcPr>
          <w:p w:rsidR="008E7182" w:rsidRPr="00EC197F" w:rsidRDefault="00325E58" w:rsidP="008E7182">
            <w:pPr>
              <w:jc w:val="right"/>
              <w:cnfStyle w:val="000000100000" w:firstRow="0" w:lastRow="0" w:firstColumn="0" w:lastColumn="0" w:oddVBand="0" w:evenVBand="0" w:oddHBand="1" w:evenHBand="0" w:firstRowFirstColumn="0" w:firstRowLastColumn="0" w:lastRowFirstColumn="0" w:lastRowLastColumn="0"/>
            </w:pPr>
            <w:r>
              <w:t>10.9%</w:t>
            </w:r>
          </w:p>
        </w:tc>
        <w:tc>
          <w:tcPr>
            <w:tcW w:w="2577" w:type="dxa"/>
          </w:tcPr>
          <w:p w:rsidR="008E7182" w:rsidRPr="006C1F3D" w:rsidRDefault="008E7182" w:rsidP="008E7182">
            <w:pPr>
              <w:jc w:val="right"/>
              <w:cnfStyle w:val="000000100000" w:firstRow="0" w:lastRow="0" w:firstColumn="0" w:lastColumn="0" w:oddVBand="0" w:evenVBand="0" w:oddHBand="1" w:evenHBand="0" w:firstRowFirstColumn="0" w:firstRowLastColumn="0" w:lastRowFirstColumn="0" w:lastRowLastColumn="0"/>
            </w:pPr>
            <w:r w:rsidRPr="006C1F3D">
              <w:t>13.3%</w:t>
            </w:r>
          </w:p>
        </w:tc>
        <w:tc>
          <w:tcPr>
            <w:tcW w:w="2827" w:type="dxa"/>
          </w:tcPr>
          <w:p w:rsidR="008E7182" w:rsidRPr="006B61AD" w:rsidRDefault="008E7182" w:rsidP="008E7182">
            <w:pPr>
              <w:jc w:val="right"/>
              <w:cnfStyle w:val="000000100000" w:firstRow="0" w:lastRow="0" w:firstColumn="0" w:lastColumn="0" w:oddVBand="0" w:evenVBand="0" w:oddHBand="1" w:evenHBand="0" w:firstRowFirstColumn="0" w:firstRowLastColumn="0" w:lastRowFirstColumn="0" w:lastRowLastColumn="0"/>
            </w:pPr>
            <w:r>
              <w:t>13.3%</w:t>
            </w:r>
          </w:p>
        </w:tc>
      </w:tr>
      <w:tr w:rsidR="008E7182" w:rsidTr="001130F6">
        <w:trPr>
          <w:trHeight w:val="398"/>
        </w:trPr>
        <w:tc>
          <w:tcPr>
            <w:cnfStyle w:val="001000000000" w:firstRow="0" w:lastRow="0" w:firstColumn="1" w:lastColumn="0" w:oddVBand="0" w:evenVBand="0" w:oddHBand="0" w:evenHBand="0" w:firstRowFirstColumn="0" w:firstRowLastColumn="0" w:lastRowFirstColumn="0" w:lastRowLastColumn="0"/>
            <w:tcW w:w="5442" w:type="dxa"/>
          </w:tcPr>
          <w:p w:rsidR="008E7182" w:rsidRPr="00A23CAD" w:rsidRDefault="008E7182" w:rsidP="008E7182">
            <w:r w:rsidRPr="00567520">
              <w:t>Mobile Subscription Penetration Rate</w:t>
            </w:r>
          </w:p>
        </w:tc>
        <w:tc>
          <w:tcPr>
            <w:tcW w:w="2049" w:type="dxa"/>
          </w:tcPr>
          <w:p w:rsidR="008E7182" w:rsidRPr="00EC197F" w:rsidRDefault="00325E58" w:rsidP="008E7182">
            <w:pPr>
              <w:jc w:val="right"/>
              <w:cnfStyle w:val="000000000000" w:firstRow="0" w:lastRow="0" w:firstColumn="0" w:lastColumn="0" w:oddVBand="0" w:evenVBand="0" w:oddHBand="0" w:evenHBand="0" w:firstRowFirstColumn="0" w:firstRowLastColumn="0" w:lastRowFirstColumn="0" w:lastRowLastColumn="0"/>
            </w:pPr>
            <w:r>
              <w:t>113.5%</w:t>
            </w:r>
          </w:p>
        </w:tc>
        <w:tc>
          <w:tcPr>
            <w:tcW w:w="2577" w:type="dxa"/>
          </w:tcPr>
          <w:p w:rsidR="008E7182" w:rsidRPr="006C1F3D" w:rsidRDefault="008E7182" w:rsidP="008E7182">
            <w:pPr>
              <w:jc w:val="right"/>
              <w:cnfStyle w:val="000000000000" w:firstRow="0" w:lastRow="0" w:firstColumn="0" w:lastColumn="0" w:oddVBand="0" w:evenVBand="0" w:oddHBand="0" w:evenHBand="0" w:firstRowFirstColumn="0" w:firstRowLastColumn="0" w:lastRowFirstColumn="0" w:lastRowLastColumn="0"/>
            </w:pPr>
            <w:r w:rsidRPr="006C1F3D">
              <w:t>116.7%</w:t>
            </w:r>
          </w:p>
        </w:tc>
        <w:tc>
          <w:tcPr>
            <w:tcW w:w="2827" w:type="dxa"/>
          </w:tcPr>
          <w:p w:rsidR="008E7182" w:rsidRPr="006B61AD" w:rsidRDefault="008E7182" w:rsidP="008E7182">
            <w:pPr>
              <w:jc w:val="right"/>
              <w:cnfStyle w:val="000000000000" w:firstRow="0" w:lastRow="0" w:firstColumn="0" w:lastColumn="0" w:oddVBand="0" w:evenVBand="0" w:oddHBand="0" w:evenHBand="0" w:firstRowFirstColumn="0" w:firstRowLastColumn="0" w:lastRowFirstColumn="0" w:lastRowLastColumn="0"/>
            </w:pPr>
            <w:r>
              <w:t>108.6%</w:t>
            </w:r>
          </w:p>
        </w:tc>
      </w:tr>
      <w:tr w:rsidR="008E7182" w:rsidTr="001130F6">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42" w:type="dxa"/>
          </w:tcPr>
          <w:p w:rsidR="008E7182" w:rsidRPr="00A23CAD" w:rsidRDefault="008E7182" w:rsidP="008E7182">
            <w:r w:rsidRPr="00567520">
              <w:t>Fixed Broadband Subscription Penetration Rate</w:t>
            </w:r>
          </w:p>
        </w:tc>
        <w:tc>
          <w:tcPr>
            <w:tcW w:w="2049" w:type="dxa"/>
          </w:tcPr>
          <w:p w:rsidR="008E7182" w:rsidRPr="00EC197F" w:rsidRDefault="00325E58" w:rsidP="008E7182">
            <w:pPr>
              <w:jc w:val="right"/>
              <w:cnfStyle w:val="000000100000" w:firstRow="0" w:lastRow="0" w:firstColumn="0" w:lastColumn="0" w:oddVBand="0" w:evenVBand="0" w:oddHBand="1" w:evenHBand="0" w:firstRowFirstColumn="0" w:firstRowLastColumn="0" w:lastRowFirstColumn="0" w:lastRowLastColumn="0"/>
            </w:pPr>
            <w:r>
              <w:t>7.3%</w:t>
            </w:r>
          </w:p>
        </w:tc>
        <w:tc>
          <w:tcPr>
            <w:tcW w:w="2577" w:type="dxa"/>
          </w:tcPr>
          <w:p w:rsidR="008E7182" w:rsidRPr="006C1F3D" w:rsidRDefault="008E7182" w:rsidP="008E7182">
            <w:pPr>
              <w:jc w:val="right"/>
              <w:cnfStyle w:val="000000100000" w:firstRow="0" w:lastRow="0" w:firstColumn="0" w:lastColumn="0" w:oddVBand="0" w:evenVBand="0" w:oddHBand="1" w:evenHBand="0" w:firstRowFirstColumn="0" w:firstRowLastColumn="0" w:lastRowFirstColumn="0" w:lastRowLastColumn="0"/>
            </w:pPr>
            <w:r w:rsidRPr="006C1F3D">
              <w:t>10.2%</w:t>
            </w:r>
          </w:p>
        </w:tc>
        <w:tc>
          <w:tcPr>
            <w:tcW w:w="2827" w:type="dxa"/>
          </w:tcPr>
          <w:p w:rsidR="008E7182" w:rsidRPr="006B61AD" w:rsidRDefault="008E7182" w:rsidP="008E7182">
            <w:pPr>
              <w:jc w:val="right"/>
              <w:cnfStyle w:val="000000100000" w:firstRow="0" w:lastRow="0" w:firstColumn="0" w:lastColumn="0" w:oddVBand="0" w:evenVBand="0" w:oddHBand="1" w:evenHBand="0" w:firstRowFirstColumn="0" w:firstRowLastColumn="0" w:lastRowFirstColumn="0" w:lastRowLastColumn="0"/>
            </w:pPr>
            <w:r>
              <w:t>10.4%</w:t>
            </w:r>
          </w:p>
        </w:tc>
      </w:tr>
      <w:tr w:rsidR="008E7182" w:rsidTr="001130F6">
        <w:trPr>
          <w:trHeight w:val="398"/>
        </w:trPr>
        <w:tc>
          <w:tcPr>
            <w:cnfStyle w:val="001000000000" w:firstRow="0" w:lastRow="0" w:firstColumn="1" w:lastColumn="0" w:oddVBand="0" w:evenVBand="0" w:oddHBand="0" w:evenHBand="0" w:firstRowFirstColumn="0" w:firstRowLastColumn="0" w:lastRowFirstColumn="0" w:lastRowLastColumn="0"/>
            <w:tcW w:w="5442" w:type="dxa"/>
          </w:tcPr>
          <w:p w:rsidR="008E7182" w:rsidRPr="00A23CAD" w:rsidRDefault="008E7182" w:rsidP="008E7182">
            <w:r w:rsidRPr="00567520">
              <w:t>Mobile Broadband Subscription Penetration Rate</w:t>
            </w:r>
          </w:p>
        </w:tc>
        <w:tc>
          <w:tcPr>
            <w:tcW w:w="2049" w:type="dxa"/>
          </w:tcPr>
          <w:p w:rsidR="008E7182" w:rsidRPr="00EC197F" w:rsidRDefault="00325E58" w:rsidP="008E7182">
            <w:pPr>
              <w:jc w:val="right"/>
              <w:cnfStyle w:val="000000000000" w:firstRow="0" w:lastRow="0" w:firstColumn="0" w:lastColumn="0" w:oddVBand="0" w:evenVBand="0" w:oddHBand="0" w:evenHBand="0" w:firstRowFirstColumn="0" w:firstRowLastColumn="0" w:lastRowFirstColumn="0" w:lastRowLastColumn="0"/>
            </w:pPr>
            <w:r>
              <w:t>51.8%</w:t>
            </w:r>
          </w:p>
        </w:tc>
        <w:tc>
          <w:tcPr>
            <w:tcW w:w="2577" w:type="dxa"/>
          </w:tcPr>
          <w:p w:rsidR="008E7182" w:rsidRPr="006C1F3D" w:rsidRDefault="008E7182" w:rsidP="008E7182">
            <w:pPr>
              <w:jc w:val="right"/>
              <w:cnfStyle w:val="000000000000" w:firstRow="0" w:lastRow="0" w:firstColumn="0" w:lastColumn="0" w:oddVBand="0" w:evenVBand="0" w:oddHBand="0" w:evenHBand="0" w:firstRowFirstColumn="0" w:firstRowLastColumn="0" w:lastRowFirstColumn="0" w:lastRowLastColumn="0"/>
            </w:pPr>
            <w:r w:rsidRPr="006C1F3D">
              <w:t>60.2%</w:t>
            </w:r>
          </w:p>
        </w:tc>
        <w:tc>
          <w:tcPr>
            <w:tcW w:w="2827" w:type="dxa"/>
          </w:tcPr>
          <w:p w:rsidR="008E7182" w:rsidRPr="006B61AD" w:rsidRDefault="008E7182" w:rsidP="008E7182">
            <w:pPr>
              <w:jc w:val="right"/>
              <w:cnfStyle w:val="000000000000" w:firstRow="0" w:lastRow="0" w:firstColumn="0" w:lastColumn="0" w:oddVBand="0" w:evenVBand="0" w:oddHBand="0" w:evenHBand="0" w:firstRowFirstColumn="0" w:firstRowLastColumn="0" w:lastRowFirstColumn="0" w:lastRowLastColumn="0"/>
            </w:pPr>
            <w:r>
              <w:t>55%</w:t>
            </w:r>
          </w:p>
        </w:tc>
      </w:tr>
      <w:tr w:rsidR="008E7182" w:rsidTr="001130F6">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442" w:type="dxa"/>
          </w:tcPr>
          <w:p w:rsidR="008E7182" w:rsidRPr="00A23CAD" w:rsidRDefault="008E7182" w:rsidP="008E7182">
            <w:r w:rsidRPr="00567520">
              <w:t>Total Broadband Subscription Penetration Rate</w:t>
            </w:r>
          </w:p>
        </w:tc>
        <w:tc>
          <w:tcPr>
            <w:tcW w:w="2049" w:type="dxa"/>
          </w:tcPr>
          <w:p w:rsidR="008E7182" w:rsidRDefault="00325E58" w:rsidP="008E7182">
            <w:pPr>
              <w:jc w:val="right"/>
              <w:cnfStyle w:val="000000100000" w:firstRow="0" w:lastRow="0" w:firstColumn="0" w:lastColumn="0" w:oddVBand="0" w:evenVBand="0" w:oddHBand="1" w:evenHBand="0" w:firstRowFirstColumn="0" w:firstRowLastColumn="0" w:lastRowFirstColumn="0" w:lastRowLastColumn="0"/>
            </w:pPr>
            <w:r>
              <w:t>59.2%</w:t>
            </w:r>
          </w:p>
        </w:tc>
        <w:tc>
          <w:tcPr>
            <w:tcW w:w="2577" w:type="dxa"/>
          </w:tcPr>
          <w:p w:rsidR="008E7182" w:rsidRDefault="008E7182" w:rsidP="008E7182">
            <w:pPr>
              <w:jc w:val="right"/>
              <w:cnfStyle w:val="000000100000" w:firstRow="0" w:lastRow="0" w:firstColumn="0" w:lastColumn="0" w:oddVBand="0" w:evenVBand="0" w:oddHBand="1" w:evenHBand="0" w:firstRowFirstColumn="0" w:firstRowLastColumn="0" w:lastRowFirstColumn="0" w:lastRowLastColumn="0"/>
            </w:pPr>
            <w:r w:rsidRPr="006C1F3D">
              <w:t>70.4%</w:t>
            </w:r>
          </w:p>
        </w:tc>
        <w:tc>
          <w:tcPr>
            <w:tcW w:w="2827" w:type="dxa"/>
          </w:tcPr>
          <w:p w:rsidR="008E7182" w:rsidRPr="006B61AD" w:rsidRDefault="00325E58" w:rsidP="008E7182">
            <w:pPr>
              <w:jc w:val="right"/>
              <w:cnfStyle w:val="000000100000" w:firstRow="0" w:lastRow="0" w:firstColumn="0" w:lastColumn="0" w:oddVBand="0" w:evenVBand="0" w:oddHBand="1" w:evenHBand="0" w:firstRowFirstColumn="0" w:firstRowLastColumn="0" w:lastRowFirstColumn="0" w:lastRowLastColumn="0"/>
            </w:pPr>
            <w:r>
              <w:t>65.4</w:t>
            </w:r>
            <w:r w:rsidR="008E7182">
              <w:t>%</w:t>
            </w:r>
          </w:p>
        </w:tc>
      </w:tr>
    </w:tbl>
    <w:p w:rsidR="00F32736" w:rsidRDefault="00876B18">
      <w:r>
        <w:tab/>
      </w:r>
      <w:r>
        <w:tab/>
      </w:r>
    </w:p>
    <w:p w:rsidR="006B61AD" w:rsidRPr="006B61AD" w:rsidRDefault="006A79F1" w:rsidP="001130F6">
      <w:pPr>
        <w:pStyle w:val="Heading2"/>
      </w:pPr>
      <w:bookmarkStart w:id="15" w:name="_Toc7797976"/>
      <w:r>
        <w:rPr>
          <w:b/>
        </w:rPr>
        <w:t>Concentration Ratio (</w:t>
      </w:r>
      <w:r w:rsidRPr="006A79F1">
        <w:rPr>
          <w:b/>
        </w:rPr>
        <w:t>Herfindahl-Hirschman Index</w:t>
      </w:r>
      <w:r w:rsidR="009C62D6">
        <w:rPr>
          <w:b/>
        </w:rPr>
        <w:t>)</w:t>
      </w:r>
      <w:r w:rsidR="007053E6">
        <w:rPr>
          <w:rStyle w:val="FootnoteReference"/>
          <w:b/>
        </w:rPr>
        <w:footnoteReference w:id="3"/>
      </w:r>
      <w:bookmarkEnd w:id="15"/>
      <w:r w:rsidR="009C62D6">
        <w:rPr>
          <w:b/>
        </w:rPr>
        <w:t xml:space="preserve"> </w:t>
      </w:r>
    </w:p>
    <w:tbl>
      <w:tblPr>
        <w:tblStyle w:val="GridTable4-Accent3"/>
        <w:tblpPr w:leftFromText="180" w:rightFromText="180" w:vertAnchor="text" w:horzAnchor="margin" w:tblpY="-1"/>
        <w:tblW w:w="0" w:type="auto"/>
        <w:tblLook w:val="04A0" w:firstRow="1" w:lastRow="0" w:firstColumn="1" w:lastColumn="0" w:noHBand="0" w:noVBand="1"/>
      </w:tblPr>
      <w:tblGrid>
        <w:gridCol w:w="5382"/>
        <w:gridCol w:w="2126"/>
        <w:gridCol w:w="2552"/>
        <w:gridCol w:w="2890"/>
      </w:tblGrid>
      <w:tr w:rsidR="00067399" w:rsidTr="001130F6">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382" w:type="dxa"/>
          </w:tcPr>
          <w:p w:rsidR="00067399" w:rsidRPr="001130F6" w:rsidRDefault="009C62D6" w:rsidP="00067399">
            <w:pPr>
              <w:rPr>
                <w:color w:val="auto"/>
              </w:rPr>
            </w:pPr>
            <w:r w:rsidRPr="009C62D6">
              <w:rPr>
                <w:color w:val="auto"/>
              </w:rPr>
              <w:t>Herfindahl-Hirschman Index</w:t>
            </w:r>
            <w:r>
              <w:rPr>
                <w:color w:val="auto"/>
              </w:rPr>
              <w:t xml:space="preserve"> (HHI)</w:t>
            </w:r>
          </w:p>
        </w:tc>
        <w:tc>
          <w:tcPr>
            <w:tcW w:w="2126" w:type="dxa"/>
          </w:tcPr>
          <w:p w:rsidR="00067399" w:rsidRPr="001130F6" w:rsidRDefault="00FB2A73" w:rsidP="00325E58">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325E58">
              <w:rPr>
                <w:color w:val="auto"/>
              </w:rPr>
              <w:t>4</w:t>
            </w:r>
            <w:r w:rsidR="00067399" w:rsidRPr="001130F6">
              <w:rPr>
                <w:color w:val="auto"/>
              </w:rPr>
              <w:t xml:space="preserve"> 201</w:t>
            </w:r>
            <w:r w:rsidR="00401A77">
              <w:rPr>
                <w:color w:val="auto"/>
              </w:rPr>
              <w:t>7</w:t>
            </w:r>
          </w:p>
        </w:tc>
        <w:tc>
          <w:tcPr>
            <w:tcW w:w="2552" w:type="dxa"/>
          </w:tcPr>
          <w:p w:rsidR="00067399" w:rsidRPr="001130F6" w:rsidRDefault="00FB2A73" w:rsidP="00325E58">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325E58">
              <w:rPr>
                <w:color w:val="auto"/>
              </w:rPr>
              <w:t>3</w:t>
            </w:r>
            <w:r w:rsidR="00B90AC9">
              <w:rPr>
                <w:color w:val="auto"/>
              </w:rPr>
              <w:t xml:space="preserve"> </w:t>
            </w:r>
            <w:r>
              <w:rPr>
                <w:color w:val="auto"/>
              </w:rPr>
              <w:t>201</w:t>
            </w:r>
            <w:r w:rsidR="00FC7B43">
              <w:rPr>
                <w:color w:val="auto"/>
              </w:rPr>
              <w:t>8</w:t>
            </w:r>
          </w:p>
        </w:tc>
        <w:tc>
          <w:tcPr>
            <w:tcW w:w="2890" w:type="dxa"/>
          </w:tcPr>
          <w:p w:rsidR="00067399" w:rsidRPr="001130F6" w:rsidRDefault="00FB2A73" w:rsidP="00325E58">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325E58">
              <w:rPr>
                <w:color w:val="auto"/>
              </w:rPr>
              <w:t>4</w:t>
            </w:r>
            <w:r w:rsidR="00067399" w:rsidRPr="001130F6">
              <w:rPr>
                <w:color w:val="auto"/>
              </w:rPr>
              <w:t xml:space="preserve"> 201</w:t>
            </w:r>
            <w:r w:rsidR="00401A77">
              <w:rPr>
                <w:color w:val="auto"/>
              </w:rPr>
              <w:t>8</w:t>
            </w:r>
          </w:p>
        </w:tc>
      </w:tr>
      <w:tr w:rsidR="00325E58" w:rsidTr="001130F6">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382" w:type="dxa"/>
          </w:tcPr>
          <w:p w:rsidR="00325E58" w:rsidRDefault="00325E58" w:rsidP="00325E58">
            <w:r>
              <w:t>Fixed HHI</w:t>
            </w:r>
          </w:p>
        </w:tc>
        <w:tc>
          <w:tcPr>
            <w:tcW w:w="2126" w:type="dxa"/>
          </w:tcPr>
          <w:p w:rsidR="00325E58" w:rsidRPr="0034712E" w:rsidRDefault="00325E58" w:rsidP="00325E58">
            <w:pPr>
              <w:jc w:val="right"/>
              <w:cnfStyle w:val="000000100000" w:firstRow="0" w:lastRow="0" w:firstColumn="0" w:lastColumn="0" w:oddVBand="0" w:evenVBand="0" w:oddHBand="1" w:evenHBand="0" w:firstRowFirstColumn="0" w:firstRowLastColumn="0" w:lastRowFirstColumn="0" w:lastRowLastColumn="0"/>
            </w:pPr>
            <w:r>
              <w:t>6,262</w:t>
            </w:r>
          </w:p>
        </w:tc>
        <w:tc>
          <w:tcPr>
            <w:tcW w:w="2552" w:type="dxa"/>
          </w:tcPr>
          <w:p w:rsidR="00325E58" w:rsidRPr="003B6B26" w:rsidRDefault="00325E58" w:rsidP="00325E58">
            <w:pPr>
              <w:jc w:val="right"/>
              <w:cnfStyle w:val="000000100000" w:firstRow="0" w:lastRow="0" w:firstColumn="0" w:lastColumn="0" w:oddVBand="0" w:evenVBand="0" w:oddHBand="1" w:evenHBand="0" w:firstRowFirstColumn="0" w:firstRowLastColumn="0" w:lastRowFirstColumn="0" w:lastRowLastColumn="0"/>
            </w:pPr>
            <w:r w:rsidRPr="003B6B26">
              <w:t>4,832</w:t>
            </w:r>
          </w:p>
        </w:tc>
        <w:tc>
          <w:tcPr>
            <w:tcW w:w="2890" w:type="dxa"/>
          </w:tcPr>
          <w:p w:rsidR="00325E58" w:rsidRDefault="00325E58" w:rsidP="00325E58">
            <w:pPr>
              <w:jc w:val="right"/>
              <w:cnfStyle w:val="000000100000" w:firstRow="0" w:lastRow="0" w:firstColumn="0" w:lastColumn="0" w:oddVBand="0" w:evenVBand="0" w:oddHBand="1" w:evenHBand="0" w:firstRowFirstColumn="0" w:firstRowLastColumn="0" w:lastRowFirstColumn="0" w:lastRowLastColumn="0"/>
            </w:pPr>
            <w:r>
              <w:t>4,774</w:t>
            </w:r>
          </w:p>
        </w:tc>
      </w:tr>
      <w:tr w:rsidR="00325E58" w:rsidTr="001130F6">
        <w:trPr>
          <w:trHeight w:val="466"/>
        </w:trPr>
        <w:tc>
          <w:tcPr>
            <w:cnfStyle w:val="001000000000" w:firstRow="0" w:lastRow="0" w:firstColumn="1" w:lastColumn="0" w:oddVBand="0" w:evenVBand="0" w:oddHBand="0" w:evenHBand="0" w:firstRowFirstColumn="0" w:firstRowLastColumn="0" w:lastRowFirstColumn="0" w:lastRowLastColumn="0"/>
            <w:tcW w:w="5382" w:type="dxa"/>
          </w:tcPr>
          <w:p w:rsidR="00325E58" w:rsidRDefault="00325E58" w:rsidP="00325E58">
            <w:r>
              <w:t>Mobile HHI</w:t>
            </w:r>
          </w:p>
        </w:tc>
        <w:tc>
          <w:tcPr>
            <w:tcW w:w="2126" w:type="dxa"/>
          </w:tcPr>
          <w:p w:rsidR="00325E58" w:rsidRPr="0034712E" w:rsidRDefault="00325E58" w:rsidP="00325E58">
            <w:pPr>
              <w:jc w:val="right"/>
              <w:cnfStyle w:val="000000000000" w:firstRow="0" w:lastRow="0" w:firstColumn="0" w:lastColumn="0" w:oddVBand="0" w:evenVBand="0" w:oddHBand="0" w:evenHBand="0" w:firstRowFirstColumn="0" w:firstRowLastColumn="0" w:lastRowFirstColumn="0" w:lastRowLastColumn="0"/>
            </w:pPr>
            <w:r>
              <w:t>5,606</w:t>
            </w:r>
          </w:p>
        </w:tc>
        <w:tc>
          <w:tcPr>
            <w:tcW w:w="2552" w:type="dxa"/>
          </w:tcPr>
          <w:p w:rsidR="00325E58" w:rsidRPr="003B6B26" w:rsidRDefault="00325E58" w:rsidP="00325E58">
            <w:pPr>
              <w:jc w:val="right"/>
              <w:cnfStyle w:val="000000000000" w:firstRow="0" w:lastRow="0" w:firstColumn="0" w:lastColumn="0" w:oddVBand="0" w:evenVBand="0" w:oddHBand="0" w:evenHBand="0" w:firstRowFirstColumn="0" w:firstRowLastColumn="0" w:lastRowFirstColumn="0" w:lastRowLastColumn="0"/>
            </w:pPr>
            <w:r w:rsidRPr="003B6B26">
              <w:t>5,735</w:t>
            </w:r>
          </w:p>
        </w:tc>
        <w:tc>
          <w:tcPr>
            <w:tcW w:w="2890" w:type="dxa"/>
          </w:tcPr>
          <w:p w:rsidR="00325E58" w:rsidRDefault="00325E58" w:rsidP="00325E58">
            <w:pPr>
              <w:jc w:val="right"/>
              <w:cnfStyle w:val="000000000000" w:firstRow="0" w:lastRow="0" w:firstColumn="0" w:lastColumn="0" w:oddVBand="0" w:evenVBand="0" w:oddHBand="0" w:evenHBand="0" w:firstRowFirstColumn="0" w:firstRowLastColumn="0" w:lastRowFirstColumn="0" w:lastRowLastColumn="0"/>
            </w:pPr>
            <w:r>
              <w:t>5,529</w:t>
            </w:r>
          </w:p>
        </w:tc>
      </w:tr>
      <w:tr w:rsidR="00325E58" w:rsidTr="001130F6">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382" w:type="dxa"/>
          </w:tcPr>
          <w:p w:rsidR="00325E58" w:rsidRDefault="00325E58" w:rsidP="00325E58">
            <w:r>
              <w:t>Fixed  Broadband HHI</w:t>
            </w:r>
          </w:p>
        </w:tc>
        <w:tc>
          <w:tcPr>
            <w:tcW w:w="2126" w:type="dxa"/>
          </w:tcPr>
          <w:p w:rsidR="00325E58" w:rsidRPr="0034712E" w:rsidRDefault="00325E58" w:rsidP="00325E58">
            <w:pPr>
              <w:jc w:val="right"/>
              <w:cnfStyle w:val="000000100000" w:firstRow="0" w:lastRow="0" w:firstColumn="0" w:lastColumn="0" w:oddVBand="0" w:evenVBand="0" w:oddHBand="1" w:evenHBand="0" w:firstRowFirstColumn="0" w:firstRowLastColumn="0" w:lastRowFirstColumn="0" w:lastRowLastColumn="0"/>
            </w:pPr>
            <w:r>
              <w:t>5,021</w:t>
            </w:r>
          </w:p>
        </w:tc>
        <w:tc>
          <w:tcPr>
            <w:tcW w:w="2552" w:type="dxa"/>
          </w:tcPr>
          <w:p w:rsidR="00325E58" w:rsidRPr="003B6B26" w:rsidRDefault="00325E58" w:rsidP="00325E58">
            <w:pPr>
              <w:jc w:val="right"/>
              <w:cnfStyle w:val="000000100000" w:firstRow="0" w:lastRow="0" w:firstColumn="0" w:lastColumn="0" w:oddVBand="0" w:evenVBand="0" w:oddHBand="1" w:evenHBand="0" w:firstRowFirstColumn="0" w:firstRowLastColumn="0" w:lastRowFirstColumn="0" w:lastRowLastColumn="0"/>
            </w:pPr>
            <w:r w:rsidRPr="003B6B26">
              <w:t>3,626</w:t>
            </w:r>
          </w:p>
        </w:tc>
        <w:tc>
          <w:tcPr>
            <w:tcW w:w="2890" w:type="dxa"/>
          </w:tcPr>
          <w:p w:rsidR="00325E58" w:rsidRDefault="00325E58" w:rsidP="00325E58">
            <w:pPr>
              <w:jc w:val="right"/>
              <w:cnfStyle w:val="000000100000" w:firstRow="0" w:lastRow="0" w:firstColumn="0" w:lastColumn="0" w:oddVBand="0" w:evenVBand="0" w:oddHBand="1" w:evenHBand="0" w:firstRowFirstColumn="0" w:firstRowLastColumn="0" w:lastRowFirstColumn="0" w:lastRowLastColumn="0"/>
            </w:pPr>
            <w:r>
              <w:t>3,614</w:t>
            </w:r>
          </w:p>
        </w:tc>
      </w:tr>
      <w:tr w:rsidR="00325E58" w:rsidTr="001130F6">
        <w:trPr>
          <w:trHeight w:val="466"/>
        </w:trPr>
        <w:tc>
          <w:tcPr>
            <w:cnfStyle w:val="001000000000" w:firstRow="0" w:lastRow="0" w:firstColumn="1" w:lastColumn="0" w:oddVBand="0" w:evenVBand="0" w:oddHBand="0" w:evenHBand="0" w:firstRowFirstColumn="0" w:firstRowLastColumn="0" w:lastRowFirstColumn="0" w:lastRowLastColumn="0"/>
            <w:tcW w:w="5382" w:type="dxa"/>
          </w:tcPr>
          <w:p w:rsidR="00325E58" w:rsidRDefault="00325E58" w:rsidP="00325E58">
            <w:r>
              <w:t>Mobile Broadband HHI</w:t>
            </w:r>
          </w:p>
        </w:tc>
        <w:tc>
          <w:tcPr>
            <w:tcW w:w="2126" w:type="dxa"/>
          </w:tcPr>
          <w:p w:rsidR="00325E58" w:rsidRDefault="00325E58" w:rsidP="00325E58">
            <w:pPr>
              <w:jc w:val="right"/>
              <w:cnfStyle w:val="000000000000" w:firstRow="0" w:lastRow="0" w:firstColumn="0" w:lastColumn="0" w:oddVBand="0" w:evenVBand="0" w:oddHBand="0" w:evenHBand="0" w:firstRowFirstColumn="0" w:firstRowLastColumn="0" w:lastRowFirstColumn="0" w:lastRowLastColumn="0"/>
            </w:pPr>
            <w:r>
              <w:t>5,736</w:t>
            </w:r>
          </w:p>
        </w:tc>
        <w:tc>
          <w:tcPr>
            <w:tcW w:w="2552" w:type="dxa"/>
          </w:tcPr>
          <w:p w:rsidR="00325E58" w:rsidRDefault="00325E58" w:rsidP="00325E58">
            <w:pPr>
              <w:jc w:val="right"/>
              <w:cnfStyle w:val="000000000000" w:firstRow="0" w:lastRow="0" w:firstColumn="0" w:lastColumn="0" w:oddVBand="0" w:evenVBand="0" w:oddHBand="0" w:evenHBand="0" w:firstRowFirstColumn="0" w:firstRowLastColumn="0" w:lastRowFirstColumn="0" w:lastRowLastColumn="0"/>
            </w:pPr>
            <w:r w:rsidRPr="003B6B26">
              <w:t>6,226</w:t>
            </w:r>
          </w:p>
        </w:tc>
        <w:tc>
          <w:tcPr>
            <w:tcW w:w="2890" w:type="dxa"/>
          </w:tcPr>
          <w:p w:rsidR="00325E58" w:rsidRDefault="00325E58" w:rsidP="00325E58">
            <w:pPr>
              <w:jc w:val="right"/>
              <w:cnfStyle w:val="000000000000" w:firstRow="0" w:lastRow="0" w:firstColumn="0" w:lastColumn="0" w:oddVBand="0" w:evenVBand="0" w:oddHBand="0" w:evenHBand="0" w:firstRowFirstColumn="0" w:firstRowLastColumn="0" w:lastRowFirstColumn="0" w:lastRowLastColumn="0"/>
            </w:pPr>
            <w:r>
              <w:t>5,673</w:t>
            </w:r>
          </w:p>
        </w:tc>
      </w:tr>
    </w:tbl>
    <w:p w:rsidR="00876B18" w:rsidRDefault="00876B18"/>
    <w:p w:rsidR="00876B18" w:rsidRDefault="00876B18"/>
    <w:p w:rsidR="00F32736" w:rsidRDefault="00F32736"/>
    <w:p w:rsidR="00F32736" w:rsidRDefault="00F32736"/>
    <w:p w:rsidR="00F32736" w:rsidRDefault="00F32736"/>
    <w:p w:rsidR="00F32736" w:rsidRDefault="00F32736"/>
    <w:p w:rsidR="00F32736" w:rsidRDefault="00F32736"/>
    <w:p w:rsidR="00D140A8" w:rsidRDefault="00D140A8"/>
    <w:p w:rsidR="00F32736" w:rsidRDefault="00F32736"/>
    <w:p w:rsidR="00F32736" w:rsidRDefault="00F32736"/>
    <w:p w:rsidR="00F32736" w:rsidRPr="002C2B20" w:rsidRDefault="00F32736" w:rsidP="002C2B20">
      <w:pPr>
        <w:pStyle w:val="Heading1"/>
        <w:jc w:val="center"/>
        <w:rPr>
          <w:b/>
          <w:sz w:val="96"/>
          <w:szCs w:val="96"/>
        </w:rPr>
      </w:pPr>
      <w:bookmarkStart w:id="16" w:name="_Toc7797977"/>
      <w:r w:rsidRPr="002C2B20">
        <w:rPr>
          <w:b/>
          <w:sz w:val="96"/>
          <w:szCs w:val="96"/>
        </w:rPr>
        <w:t>Appendix</w:t>
      </w:r>
      <w:bookmarkEnd w:id="16"/>
    </w:p>
    <w:p w:rsidR="00F32736" w:rsidRDefault="00F32736"/>
    <w:p w:rsidR="00F32736" w:rsidRDefault="00F32736"/>
    <w:p w:rsidR="00F32736" w:rsidRDefault="00F32736"/>
    <w:p w:rsidR="007C6620" w:rsidRDefault="007C6620"/>
    <w:p w:rsidR="00F32736" w:rsidRDefault="00F32736"/>
    <w:p w:rsidR="00C3715E" w:rsidRDefault="00C3715E"/>
    <w:p w:rsidR="00BA6CA2" w:rsidRDefault="00BA6CA2"/>
    <w:p w:rsidR="00C3715E" w:rsidRDefault="00C3715E"/>
    <w:p w:rsidR="00C3715E" w:rsidRDefault="00C3715E"/>
    <w:tbl>
      <w:tblPr>
        <w:tblStyle w:val="GridTable4-Accent3"/>
        <w:tblW w:w="13082" w:type="dxa"/>
        <w:tblLook w:val="04A0" w:firstRow="1" w:lastRow="0" w:firstColumn="1" w:lastColumn="0" w:noHBand="0" w:noVBand="1"/>
      </w:tblPr>
      <w:tblGrid>
        <w:gridCol w:w="4174"/>
        <w:gridCol w:w="1836"/>
        <w:gridCol w:w="1862"/>
        <w:gridCol w:w="1718"/>
        <w:gridCol w:w="1745"/>
        <w:gridCol w:w="1747"/>
      </w:tblGrid>
      <w:tr w:rsidR="00F32736" w:rsidRPr="00DD0F31" w:rsidTr="00C13501">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174" w:type="dxa"/>
          </w:tcPr>
          <w:p w:rsidR="00F32736" w:rsidRPr="001130F6" w:rsidRDefault="00F32736" w:rsidP="00D518F8">
            <w:pPr>
              <w:rPr>
                <w:b w:val="0"/>
                <w:color w:val="auto"/>
              </w:rPr>
            </w:pPr>
            <w:r w:rsidRPr="001130F6">
              <w:rPr>
                <w:color w:val="auto"/>
              </w:rPr>
              <w:t xml:space="preserve">Fixed </w:t>
            </w:r>
            <w:r w:rsidR="00567520">
              <w:rPr>
                <w:color w:val="auto"/>
              </w:rPr>
              <w:t>Market</w:t>
            </w:r>
            <w:r w:rsidR="00D518F8">
              <w:rPr>
                <w:color w:val="auto"/>
              </w:rPr>
              <w:t xml:space="preserve"> </w:t>
            </w:r>
          </w:p>
        </w:tc>
        <w:tc>
          <w:tcPr>
            <w:tcW w:w="1836" w:type="dxa"/>
          </w:tcPr>
          <w:p w:rsidR="00F32736" w:rsidRPr="001130F6" w:rsidRDefault="00F32736" w:rsidP="00C7670B">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Q</w:t>
            </w:r>
            <w:r w:rsidR="00C7670B">
              <w:rPr>
                <w:color w:val="auto"/>
              </w:rPr>
              <w:t>4</w:t>
            </w:r>
            <w:r w:rsidRPr="001130F6">
              <w:rPr>
                <w:color w:val="auto"/>
              </w:rPr>
              <w:t xml:space="preserve"> 201</w:t>
            </w:r>
            <w:r w:rsidR="009B4035">
              <w:rPr>
                <w:color w:val="auto"/>
              </w:rPr>
              <w:t>7</w:t>
            </w:r>
          </w:p>
        </w:tc>
        <w:tc>
          <w:tcPr>
            <w:tcW w:w="1862" w:type="dxa"/>
          </w:tcPr>
          <w:p w:rsidR="00F32736" w:rsidRPr="001130F6" w:rsidRDefault="00F32736" w:rsidP="00C7670B">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Q</w:t>
            </w:r>
            <w:r w:rsidR="00C7670B">
              <w:rPr>
                <w:color w:val="auto"/>
              </w:rPr>
              <w:t>3</w:t>
            </w:r>
            <w:r w:rsidR="00183673">
              <w:rPr>
                <w:color w:val="auto"/>
              </w:rPr>
              <w:t xml:space="preserve"> 201</w:t>
            </w:r>
            <w:r w:rsidR="00D5453B">
              <w:rPr>
                <w:color w:val="auto"/>
              </w:rPr>
              <w:t>8</w:t>
            </w:r>
          </w:p>
        </w:tc>
        <w:tc>
          <w:tcPr>
            <w:tcW w:w="1718" w:type="dxa"/>
          </w:tcPr>
          <w:p w:rsidR="00F32736" w:rsidRPr="001130F6" w:rsidRDefault="00F32736" w:rsidP="00C7670B">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Q</w:t>
            </w:r>
            <w:r w:rsidR="00C7670B">
              <w:rPr>
                <w:color w:val="auto"/>
              </w:rPr>
              <w:t>4</w:t>
            </w:r>
            <w:r w:rsidRPr="001130F6">
              <w:rPr>
                <w:color w:val="auto"/>
              </w:rPr>
              <w:t xml:space="preserve"> 201</w:t>
            </w:r>
            <w:r w:rsidR="009B4035">
              <w:rPr>
                <w:color w:val="auto"/>
              </w:rPr>
              <w:t>8</w:t>
            </w:r>
          </w:p>
        </w:tc>
        <w:tc>
          <w:tcPr>
            <w:tcW w:w="1745" w:type="dxa"/>
          </w:tcPr>
          <w:p w:rsidR="00F32736" w:rsidRPr="001130F6" w:rsidRDefault="00F32736" w:rsidP="00D140A8">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 Change</w:t>
            </w:r>
          </w:p>
          <w:p w:rsidR="00F32736" w:rsidRPr="001130F6" w:rsidRDefault="00F32736" w:rsidP="00715954">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Q</w:t>
            </w:r>
            <w:r w:rsidR="00715954">
              <w:rPr>
                <w:color w:val="auto"/>
              </w:rPr>
              <w:t>4</w:t>
            </w:r>
            <w:r w:rsidR="00ED24FD">
              <w:rPr>
                <w:color w:val="auto"/>
              </w:rPr>
              <w:t xml:space="preserve"> </w:t>
            </w:r>
            <w:r w:rsidR="00B90AC9">
              <w:rPr>
                <w:color w:val="auto"/>
              </w:rPr>
              <w:t>‘1</w:t>
            </w:r>
            <w:r w:rsidR="009B4035">
              <w:rPr>
                <w:color w:val="auto"/>
              </w:rPr>
              <w:t>8</w:t>
            </w:r>
            <w:r w:rsidRPr="001130F6">
              <w:rPr>
                <w:color w:val="auto"/>
              </w:rPr>
              <w:t>/Q</w:t>
            </w:r>
            <w:r w:rsidR="00715954">
              <w:rPr>
                <w:color w:val="auto"/>
              </w:rPr>
              <w:t>3</w:t>
            </w:r>
            <w:r w:rsidR="00ED24FD">
              <w:rPr>
                <w:color w:val="auto"/>
              </w:rPr>
              <w:t xml:space="preserve"> </w:t>
            </w:r>
            <w:r w:rsidR="00183673">
              <w:rPr>
                <w:color w:val="auto"/>
              </w:rPr>
              <w:t>’1</w:t>
            </w:r>
            <w:r w:rsidR="00D5453B">
              <w:rPr>
                <w:color w:val="auto"/>
              </w:rPr>
              <w:t>8</w:t>
            </w:r>
          </w:p>
        </w:tc>
        <w:tc>
          <w:tcPr>
            <w:tcW w:w="1747" w:type="dxa"/>
          </w:tcPr>
          <w:p w:rsidR="00F32736" w:rsidRPr="001130F6" w:rsidRDefault="00F32736" w:rsidP="00D140A8">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 Change</w:t>
            </w:r>
          </w:p>
          <w:p w:rsidR="00F32736" w:rsidRPr="001130F6" w:rsidRDefault="00183673" w:rsidP="00715954">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715954">
              <w:rPr>
                <w:color w:val="auto"/>
              </w:rPr>
              <w:t>4</w:t>
            </w:r>
            <w:r w:rsidR="00373E33">
              <w:rPr>
                <w:color w:val="auto"/>
              </w:rPr>
              <w:t xml:space="preserve"> ‘</w:t>
            </w:r>
            <w:r w:rsidR="00ED0B26">
              <w:rPr>
                <w:color w:val="auto"/>
              </w:rPr>
              <w:t>1</w:t>
            </w:r>
            <w:r w:rsidR="009B4035">
              <w:rPr>
                <w:color w:val="auto"/>
              </w:rPr>
              <w:t>8</w:t>
            </w:r>
            <w:r w:rsidR="00ED0B26">
              <w:rPr>
                <w:color w:val="auto"/>
              </w:rPr>
              <w:t>/Q</w:t>
            </w:r>
            <w:r w:rsidR="00715954">
              <w:rPr>
                <w:color w:val="auto"/>
              </w:rPr>
              <w:t>4</w:t>
            </w:r>
            <w:r w:rsidR="00373E33">
              <w:rPr>
                <w:color w:val="auto"/>
              </w:rPr>
              <w:t xml:space="preserve"> </w:t>
            </w:r>
            <w:r w:rsidR="00B90AC9">
              <w:rPr>
                <w:color w:val="auto"/>
              </w:rPr>
              <w:t>‘1</w:t>
            </w:r>
            <w:r w:rsidR="00373E33">
              <w:rPr>
                <w:color w:val="auto"/>
              </w:rPr>
              <w:t>7</w:t>
            </w:r>
          </w:p>
        </w:tc>
      </w:tr>
      <w:tr w:rsidR="00C7670B" w:rsidTr="00C1350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174" w:type="dxa"/>
          </w:tcPr>
          <w:p w:rsidR="00C7670B" w:rsidRPr="00E531F9" w:rsidRDefault="00C7670B" w:rsidP="00C7670B">
            <w:pPr>
              <w:rPr>
                <w:b w:val="0"/>
              </w:rPr>
            </w:pPr>
            <w:r w:rsidRPr="00E531F9">
              <w:t>Total Subscription</w:t>
            </w:r>
            <w:r>
              <w:t>s</w:t>
            </w:r>
            <w:r w:rsidRPr="00E531F9">
              <w:t xml:space="preserve"> (‘000)</w:t>
            </w:r>
          </w:p>
        </w:tc>
        <w:tc>
          <w:tcPr>
            <w:tcW w:w="1836" w:type="dxa"/>
          </w:tcPr>
          <w:p w:rsidR="00C7670B" w:rsidRPr="008B27CC"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8B27CC">
              <w:t>297.03</w:t>
            </w:r>
          </w:p>
        </w:tc>
        <w:tc>
          <w:tcPr>
            <w:tcW w:w="1862" w:type="dxa"/>
          </w:tcPr>
          <w:p w:rsidR="00C7670B" w:rsidRPr="00AE2B22"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AE2B22">
              <w:t>364.03</w:t>
            </w:r>
          </w:p>
        </w:tc>
        <w:tc>
          <w:tcPr>
            <w:tcW w:w="1718" w:type="dxa"/>
          </w:tcPr>
          <w:p w:rsidR="00C7670B" w:rsidRDefault="00715954" w:rsidP="00C7670B">
            <w:pPr>
              <w:jc w:val="right"/>
              <w:cnfStyle w:val="000000100000" w:firstRow="0" w:lastRow="0" w:firstColumn="0" w:lastColumn="0" w:oddVBand="0" w:evenVBand="0" w:oddHBand="1" w:evenHBand="0" w:firstRowFirstColumn="0" w:firstRowLastColumn="0" w:lastRowFirstColumn="0" w:lastRowLastColumn="0"/>
            </w:pPr>
            <w:r>
              <w:t>363.82</w:t>
            </w:r>
          </w:p>
        </w:tc>
        <w:tc>
          <w:tcPr>
            <w:tcW w:w="1745" w:type="dxa"/>
          </w:tcPr>
          <w:p w:rsidR="00C7670B" w:rsidRDefault="00715954" w:rsidP="00C7670B">
            <w:pPr>
              <w:jc w:val="right"/>
              <w:cnfStyle w:val="000000100000" w:firstRow="0" w:lastRow="0" w:firstColumn="0" w:lastColumn="0" w:oddVBand="0" w:evenVBand="0" w:oddHBand="1" w:evenHBand="0" w:firstRowFirstColumn="0" w:firstRowLastColumn="0" w:lastRowFirstColumn="0" w:lastRowLastColumn="0"/>
            </w:pPr>
            <w:r>
              <w:t>- 0.06</w:t>
            </w:r>
          </w:p>
        </w:tc>
        <w:tc>
          <w:tcPr>
            <w:tcW w:w="1747" w:type="dxa"/>
          </w:tcPr>
          <w:p w:rsidR="00C7670B" w:rsidRDefault="00715954" w:rsidP="00C7670B">
            <w:pPr>
              <w:jc w:val="right"/>
              <w:cnfStyle w:val="000000100000" w:firstRow="0" w:lastRow="0" w:firstColumn="0" w:lastColumn="0" w:oddVBand="0" w:evenVBand="0" w:oddHBand="1" w:evenHBand="0" w:firstRowFirstColumn="0" w:firstRowLastColumn="0" w:lastRowFirstColumn="0" w:lastRowLastColumn="0"/>
            </w:pPr>
            <w:r>
              <w:t>22.49</w:t>
            </w:r>
          </w:p>
        </w:tc>
      </w:tr>
      <w:tr w:rsidR="00C7670B" w:rsidTr="00C13501">
        <w:trPr>
          <w:trHeight w:val="280"/>
        </w:trPr>
        <w:tc>
          <w:tcPr>
            <w:cnfStyle w:val="001000000000" w:firstRow="0" w:lastRow="0" w:firstColumn="1" w:lastColumn="0" w:oddVBand="0" w:evenVBand="0" w:oddHBand="0" w:evenHBand="0" w:firstRowFirstColumn="0" w:firstRowLastColumn="0" w:lastRowFirstColumn="0" w:lastRowLastColumn="0"/>
            <w:tcW w:w="4174" w:type="dxa"/>
          </w:tcPr>
          <w:p w:rsidR="00C7670B" w:rsidRPr="00E531F9" w:rsidRDefault="00C7670B" w:rsidP="00C7670B">
            <w:pPr>
              <w:rPr>
                <w:b w:val="0"/>
              </w:rPr>
            </w:pPr>
            <w:r w:rsidRPr="00E531F9">
              <w:t>Fixed to Fixed (‘000 minutes)</w:t>
            </w:r>
          </w:p>
        </w:tc>
        <w:tc>
          <w:tcPr>
            <w:tcW w:w="1836" w:type="dxa"/>
          </w:tcPr>
          <w:p w:rsidR="00C7670B" w:rsidRPr="008B27CC" w:rsidRDefault="00C7670B" w:rsidP="00C7670B">
            <w:pPr>
              <w:jc w:val="right"/>
              <w:cnfStyle w:val="000000000000" w:firstRow="0" w:lastRow="0" w:firstColumn="0" w:lastColumn="0" w:oddVBand="0" w:evenVBand="0" w:oddHBand="0" w:evenHBand="0" w:firstRowFirstColumn="0" w:firstRowLastColumn="0" w:lastRowFirstColumn="0" w:lastRowLastColumn="0"/>
            </w:pPr>
            <w:r w:rsidRPr="008B27CC">
              <w:t>96,433.76</w:t>
            </w:r>
          </w:p>
        </w:tc>
        <w:tc>
          <w:tcPr>
            <w:tcW w:w="1862" w:type="dxa"/>
          </w:tcPr>
          <w:p w:rsidR="00C7670B" w:rsidRPr="00AE2B22" w:rsidRDefault="00C7670B" w:rsidP="00C7670B">
            <w:pPr>
              <w:jc w:val="right"/>
              <w:cnfStyle w:val="000000000000" w:firstRow="0" w:lastRow="0" w:firstColumn="0" w:lastColumn="0" w:oddVBand="0" w:evenVBand="0" w:oddHBand="0" w:evenHBand="0" w:firstRowFirstColumn="0" w:firstRowLastColumn="0" w:lastRowFirstColumn="0" w:lastRowLastColumn="0"/>
            </w:pPr>
            <w:r w:rsidRPr="00AE2B22">
              <w:t xml:space="preserve"> 77,532.74 </w:t>
            </w:r>
          </w:p>
        </w:tc>
        <w:tc>
          <w:tcPr>
            <w:tcW w:w="1718" w:type="dxa"/>
          </w:tcPr>
          <w:p w:rsidR="00C7670B" w:rsidRPr="00BF4D55" w:rsidRDefault="00715954" w:rsidP="00C7670B">
            <w:pPr>
              <w:jc w:val="right"/>
              <w:cnfStyle w:val="000000000000" w:firstRow="0" w:lastRow="0" w:firstColumn="0" w:lastColumn="0" w:oddVBand="0" w:evenVBand="0" w:oddHBand="0" w:evenHBand="0" w:firstRowFirstColumn="0" w:firstRowLastColumn="0" w:lastRowFirstColumn="0" w:lastRowLastColumn="0"/>
            </w:pPr>
            <w:r>
              <w:t>69,964.69</w:t>
            </w:r>
          </w:p>
        </w:tc>
        <w:tc>
          <w:tcPr>
            <w:tcW w:w="1745" w:type="dxa"/>
          </w:tcPr>
          <w:p w:rsidR="00C7670B" w:rsidRPr="00BF4D55" w:rsidRDefault="00946D2A" w:rsidP="00946D2A">
            <w:pPr>
              <w:jc w:val="right"/>
              <w:cnfStyle w:val="000000000000" w:firstRow="0" w:lastRow="0" w:firstColumn="0" w:lastColumn="0" w:oddVBand="0" w:evenVBand="0" w:oddHBand="0" w:evenHBand="0" w:firstRowFirstColumn="0" w:firstRowLastColumn="0" w:lastRowFirstColumn="0" w:lastRowLastColumn="0"/>
            </w:pPr>
            <w:r>
              <w:t>-9.76</w:t>
            </w:r>
          </w:p>
        </w:tc>
        <w:tc>
          <w:tcPr>
            <w:tcW w:w="1747" w:type="dxa"/>
          </w:tcPr>
          <w:p w:rsidR="00C7670B" w:rsidRDefault="00946D2A" w:rsidP="00C7670B">
            <w:pPr>
              <w:jc w:val="right"/>
              <w:cnfStyle w:val="000000000000" w:firstRow="0" w:lastRow="0" w:firstColumn="0" w:lastColumn="0" w:oddVBand="0" w:evenVBand="0" w:oddHBand="0" w:evenHBand="0" w:firstRowFirstColumn="0" w:firstRowLastColumn="0" w:lastRowFirstColumn="0" w:lastRowLastColumn="0"/>
            </w:pPr>
            <w:r>
              <w:t>-27.45</w:t>
            </w:r>
          </w:p>
        </w:tc>
      </w:tr>
      <w:tr w:rsidR="00C7670B" w:rsidTr="00C13501">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174" w:type="dxa"/>
          </w:tcPr>
          <w:p w:rsidR="00C7670B" w:rsidRPr="00E531F9" w:rsidRDefault="00C7670B" w:rsidP="00C7670B">
            <w:pPr>
              <w:rPr>
                <w:b w:val="0"/>
              </w:rPr>
            </w:pPr>
            <w:r w:rsidRPr="00E531F9">
              <w:t>Fixed to Mobile Calls (‘000 minutes)</w:t>
            </w:r>
          </w:p>
        </w:tc>
        <w:tc>
          <w:tcPr>
            <w:tcW w:w="1836" w:type="dxa"/>
          </w:tcPr>
          <w:p w:rsidR="00C7670B" w:rsidRPr="008B27CC"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8B27CC">
              <w:t>82,027.85</w:t>
            </w:r>
          </w:p>
        </w:tc>
        <w:tc>
          <w:tcPr>
            <w:tcW w:w="1862" w:type="dxa"/>
          </w:tcPr>
          <w:p w:rsidR="00C7670B" w:rsidRPr="00AE2B22"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AE2B22">
              <w:t xml:space="preserve"> 80,135.21 </w:t>
            </w:r>
          </w:p>
        </w:tc>
        <w:tc>
          <w:tcPr>
            <w:tcW w:w="1718" w:type="dxa"/>
          </w:tcPr>
          <w:p w:rsidR="00C7670B" w:rsidRPr="00657BA6" w:rsidRDefault="00715954" w:rsidP="00C7670B">
            <w:pPr>
              <w:jc w:val="right"/>
              <w:cnfStyle w:val="000000100000" w:firstRow="0" w:lastRow="0" w:firstColumn="0" w:lastColumn="0" w:oddVBand="0" w:evenVBand="0" w:oddHBand="1" w:evenHBand="0" w:firstRowFirstColumn="0" w:firstRowLastColumn="0" w:lastRowFirstColumn="0" w:lastRowLastColumn="0"/>
            </w:pPr>
            <w:r>
              <w:t>75,034.72</w:t>
            </w:r>
          </w:p>
        </w:tc>
        <w:tc>
          <w:tcPr>
            <w:tcW w:w="1745" w:type="dxa"/>
          </w:tcPr>
          <w:p w:rsidR="00C7670B" w:rsidRPr="00657BA6" w:rsidRDefault="00946D2A" w:rsidP="00946D2A">
            <w:pPr>
              <w:jc w:val="right"/>
              <w:cnfStyle w:val="000000100000" w:firstRow="0" w:lastRow="0" w:firstColumn="0" w:lastColumn="0" w:oddVBand="0" w:evenVBand="0" w:oddHBand="1" w:evenHBand="0" w:firstRowFirstColumn="0" w:firstRowLastColumn="0" w:lastRowFirstColumn="0" w:lastRowLastColumn="0"/>
            </w:pPr>
            <w:r>
              <w:t>-6.36</w:t>
            </w:r>
          </w:p>
        </w:tc>
        <w:tc>
          <w:tcPr>
            <w:tcW w:w="1747" w:type="dxa"/>
          </w:tcPr>
          <w:p w:rsidR="00C7670B" w:rsidRDefault="00946D2A" w:rsidP="00C7670B">
            <w:pPr>
              <w:jc w:val="right"/>
              <w:cnfStyle w:val="000000100000" w:firstRow="0" w:lastRow="0" w:firstColumn="0" w:lastColumn="0" w:oddVBand="0" w:evenVBand="0" w:oddHBand="1" w:evenHBand="0" w:firstRowFirstColumn="0" w:firstRowLastColumn="0" w:lastRowFirstColumn="0" w:lastRowLastColumn="0"/>
            </w:pPr>
            <w:r>
              <w:t>- 8.53</w:t>
            </w:r>
          </w:p>
        </w:tc>
      </w:tr>
      <w:tr w:rsidR="00C7670B" w:rsidTr="00C13501">
        <w:trPr>
          <w:trHeight w:val="280"/>
        </w:trPr>
        <w:tc>
          <w:tcPr>
            <w:cnfStyle w:val="001000000000" w:firstRow="0" w:lastRow="0" w:firstColumn="1" w:lastColumn="0" w:oddVBand="0" w:evenVBand="0" w:oddHBand="0" w:evenHBand="0" w:firstRowFirstColumn="0" w:firstRowLastColumn="0" w:lastRowFirstColumn="0" w:lastRowLastColumn="0"/>
            <w:tcW w:w="4174" w:type="dxa"/>
          </w:tcPr>
          <w:p w:rsidR="00C7670B" w:rsidRPr="00E531F9" w:rsidRDefault="00C7670B" w:rsidP="00C7670B">
            <w:pPr>
              <w:rPr>
                <w:b w:val="0"/>
              </w:rPr>
            </w:pPr>
            <w:r w:rsidRPr="00E531F9">
              <w:t>Total International Calls</w:t>
            </w:r>
            <w:r>
              <w:t xml:space="preserve"> (‘000 minutes)</w:t>
            </w:r>
          </w:p>
        </w:tc>
        <w:tc>
          <w:tcPr>
            <w:tcW w:w="1836" w:type="dxa"/>
          </w:tcPr>
          <w:p w:rsidR="00C7670B" w:rsidRPr="008B27CC" w:rsidRDefault="00C7670B" w:rsidP="00C7670B">
            <w:pPr>
              <w:jc w:val="right"/>
              <w:cnfStyle w:val="000000000000" w:firstRow="0" w:lastRow="0" w:firstColumn="0" w:lastColumn="0" w:oddVBand="0" w:evenVBand="0" w:oddHBand="0" w:evenHBand="0" w:firstRowFirstColumn="0" w:firstRowLastColumn="0" w:lastRowFirstColumn="0" w:lastRowLastColumn="0"/>
            </w:pPr>
            <w:r w:rsidRPr="008B27CC">
              <w:t>41,527.17</w:t>
            </w:r>
          </w:p>
        </w:tc>
        <w:tc>
          <w:tcPr>
            <w:tcW w:w="1862" w:type="dxa"/>
          </w:tcPr>
          <w:p w:rsidR="00C7670B" w:rsidRPr="00AE2B22" w:rsidRDefault="00C7670B" w:rsidP="00C7670B">
            <w:pPr>
              <w:jc w:val="right"/>
              <w:cnfStyle w:val="000000000000" w:firstRow="0" w:lastRow="0" w:firstColumn="0" w:lastColumn="0" w:oddVBand="0" w:evenVBand="0" w:oddHBand="0" w:evenHBand="0" w:firstRowFirstColumn="0" w:firstRowLastColumn="0" w:lastRowFirstColumn="0" w:lastRowLastColumn="0"/>
            </w:pPr>
            <w:r w:rsidRPr="00AE2B22">
              <w:t xml:space="preserve"> 21,513.74 </w:t>
            </w:r>
          </w:p>
        </w:tc>
        <w:tc>
          <w:tcPr>
            <w:tcW w:w="1718" w:type="dxa"/>
          </w:tcPr>
          <w:p w:rsidR="00C7670B" w:rsidRPr="009E60BD" w:rsidRDefault="00715954" w:rsidP="00C7670B">
            <w:pPr>
              <w:jc w:val="right"/>
              <w:cnfStyle w:val="000000000000" w:firstRow="0" w:lastRow="0" w:firstColumn="0" w:lastColumn="0" w:oddVBand="0" w:evenVBand="0" w:oddHBand="0" w:evenHBand="0" w:firstRowFirstColumn="0" w:firstRowLastColumn="0" w:lastRowFirstColumn="0" w:lastRowLastColumn="0"/>
            </w:pPr>
            <w:r>
              <w:t>18,743.23</w:t>
            </w:r>
          </w:p>
        </w:tc>
        <w:tc>
          <w:tcPr>
            <w:tcW w:w="1745" w:type="dxa"/>
          </w:tcPr>
          <w:p w:rsidR="00C7670B" w:rsidRPr="009E60BD" w:rsidRDefault="00946D2A" w:rsidP="00C7670B">
            <w:pPr>
              <w:jc w:val="right"/>
              <w:cnfStyle w:val="000000000000" w:firstRow="0" w:lastRow="0" w:firstColumn="0" w:lastColumn="0" w:oddVBand="0" w:evenVBand="0" w:oddHBand="0" w:evenHBand="0" w:firstRowFirstColumn="0" w:firstRowLastColumn="0" w:lastRowFirstColumn="0" w:lastRowLastColumn="0"/>
            </w:pPr>
            <w:r>
              <w:t>-12.88</w:t>
            </w:r>
          </w:p>
        </w:tc>
        <w:tc>
          <w:tcPr>
            <w:tcW w:w="1747" w:type="dxa"/>
          </w:tcPr>
          <w:p w:rsidR="00C7670B" w:rsidRDefault="00946D2A" w:rsidP="00C7670B">
            <w:pPr>
              <w:jc w:val="right"/>
              <w:cnfStyle w:val="000000000000" w:firstRow="0" w:lastRow="0" w:firstColumn="0" w:lastColumn="0" w:oddVBand="0" w:evenVBand="0" w:oddHBand="0" w:evenHBand="0" w:firstRowFirstColumn="0" w:firstRowLastColumn="0" w:lastRowFirstColumn="0" w:lastRowLastColumn="0"/>
            </w:pPr>
            <w:r>
              <w:t>-54.87</w:t>
            </w:r>
          </w:p>
        </w:tc>
      </w:tr>
      <w:tr w:rsidR="00C7670B" w:rsidTr="00C13501">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174" w:type="dxa"/>
          </w:tcPr>
          <w:p w:rsidR="00C7670B" w:rsidRPr="00E531F9" w:rsidRDefault="00C7670B" w:rsidP="00C7670B">
            <w:pPr>
              <w:rPr>
                <w:b w:val="0"/>
              </w:rPr>
            </w:pPr>
            <w:r w:rsidRPr="00E531F9">
              <w:t>Outgoing International Calls (‘000 minutes)</w:t>
            </w:r>
          </w:p>
        </w:tc>
        <w:tc>
          <w:tcPr>
            <w:tcW w:w="1836" w:type="dxa"/>
          </w:tcPr>
          <w:p w:rsidR="00C7670B" w:rsidRPr="008B27CC"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8B27CC">
              <w:t>10,117.70</w:t>
            </w:r>
          </w:p>
        </w:tc>
        <w:tc>
          <w:tcPr>
            <w:tcW w:w="1862" w:type="dxa"/>
          </w:tcPr>
          <w:p w:rsidR="00C7670B" w:rsidRPr="00AE2B22"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AE2B22">
              <w:t xml:space="preserve"> 6,419.74 </w:t>
            </w:r>
          </w:p>
        </w:tc>
        <w:tc>
          <w:tcPr>
            <w:tcW w:w="1718" w:type="dxa"/>
          </w:tcPr>
          <w:p w:rsidR="00C7670B" w:rsidRPr="00E30CCD" w:rsidRDefault="00715954" w:rsidP="00C7670B">
            <w:pPr>
              <w:jc w:val="right"/>
              <w:cnfStyle w:val="000000100000" w:firstRow="0" w:lastRow="0" w:firstColumn="0" w:lastColumn="0" w:oddVBand="0" w:evenVBand="0" w:oddHBand="1" w:evenHBand="0" w:firstRowFirstColumn="0" w:firstRowLastColumn="0" w:lastRowFirstColumn="0" w:lastRowLastColumn="0"/>
            </w:pPr>
            <w:r>
              <w:t>5,891.30</w:t>
            </w:r>
          </w:p>
        </w:tc>
        <w:tc>
          <w:tcPr>
            <w:tcW w:w="1745" w:type="dxa"/>
          </w:tcPr>
          <w:p w:rsidR="00C7670B" w:rsidRPr="00E30CCD" w:rsidRDefault="00946D2A" w:rsidP="00C7670B">
            <w:pPr>
              <w:jc w:val="right"/>
              <w:cnfStyle w:val="000000100000" w:firstRow="0" w:lastRow="0" w:firstColumn="0" w:lastColumn="0" w:oddVBand="0" w:evenVBand="0" w:oddHBand="1" w:evenHBand="0" w:firstRowFirstColumn="0" w:firstRowLastColumn="0" w:lastRowFirstColumn="0" w:lastRowLastColumn="0"/>
            </w:pPr>
            <w:r>
              <w:t>-8.23</w:t>
            </w:r>
          </w:p>
        </w:tc>
        <w:tc>
          <w:tcPr>
            <w:tcW w:w="1747" w:type="dxa"/>
          </w:tcPr>
          <w:p w:rsidR="00C7670B" w:rsidRPr="00E30CCD" w:rsidRDefault="00946D2A" w:rsidP="00C7670B">
            <w:pPr>
              <w:jc w:val="right"/>
              <w:cnfStyle w:val="000000100000" w:firstRow="0" w:lastRow="0" w:firstColumn="0" w:lastColumn="0" w:oddVBand="0" w:evenVBand="0" w:oddHBand="1" w:evenHBand="0" w:firstRowFirstColumn="0" w:firstRowLastColumn="0" w:lastRowFirstColumn="0" w:lastRowLastColumn="0"/>
            </w:pPr>
            <w:r>
              <w:t>-41.77</w:t>
            </w:r>
          </w:p>
        </w:tc>
      </w:tr>
      <w:tr w:rsidR="00C7670B" w:rsidTr="00C13501">
        <w:trPr>
          <w:trHeight w:val="327"/>
        </w:trPr>
        <w:tc>
          <w:tcPr>
            <w:cnfStyle w:val="001000000000" w:firstRow="0" w:lastRow="0" w:firstColumn="1" w:lastColumn="0" w:oddVBand="0" w:evenVBand="0" w:oddHBand="0" w:evenHBand="0" w:firstRowFirstColumn="0" w:firstRowLastColumn="0" w:lastRowFirstColumn="0" w:lastRowLastColumn="0"/>
            <w:tcW w:w="4174" w:type="dxa"/>
          </w:tcPr>
          <w:p w:rsidR="00C7670B" w:rsidRPr="00E531F9" w:rsidRDefault="00C7670B" w:rsidP="00C7670B">
            <w:pPr>
              <w:rPr>
                <w:b w:val="0"/>
              </w:rPr>
            </w:pPr>
            <w:r w:rsidRPr="00E531F9">
              <w:t>Incoming International Calls (‘000 minutes)</w:t>
            </w:r>
          </w:p>
        </w:tc>
        <w:tc>
          <w:tcPr>
            <w:tcW w:w="1836" w:type="dxa"/>
          </w:tcPr>
          <w:p w:rsidR="00C7670B" w:rsidRPr="008B27CC" w:rsidRDefault="00C7670B" w:rsidP="00C7670B">
            <w:pPr>
              <w:jc w:val="right"/>
              <w:cnfStyle w:val="000000000000" w:firstRow="0" w:lastRow="0" w:firstColumn="0" w:lastColumn="0" w:oddVBand="0" w:evenVBand="0" w:oddHBand="0" w:evenHBand="0" w:firstRowFirstColumn="0" w:firstRowLastColumn="0" w:lastRowFirstColumn="0" w:lastRowLastColumn="0"/>
            </w:pPr>
            <w:r w:rsidRPr="008B27CC">
              <w:t>31,409.47</w:t>
            </w:r>
          </w:p>
        </w:tc>
        <w:tc>
          <w:tcPr>
            <w:tcW w:w="1862" w:type="dxa"/>
          </w:tcPr>
          <w:p w:rsidR="00C7670B" w:rsidRPr="00AE2B22" w:rsidRDefault="00C7670B" w:rsidP="00C7670B">
            <w:pPr>
              <w:jc w:val="right"/>
              <w:cnfStyle w:val="000000000000" w:firstRow="0" w:lastRow="0" w:firstColumn="0" w:lastColumn="0" w:oddVBand="0" w:evenVBand="0" w:oddHBand="0" w:evenHBand="0" w:firstRowFirstColumn="0" w:firstRowLastColumn="0" w:lastRowFirstColumn="0" w:lastRowLastColumn="0"/>
            </w:pPr>
            <w:r w:rsidRPr="00AE2B22">
              <w:t xml:space="preserve"> 15,094.00 </w:t>
            </w:r>
          </w:p>
        </w:tc>
        <w:tc>
          <w:tcPr>
            <w:tcW w:w="1718" w:type="dxa"/>
          </w:tcPr>
          <w:p w:rsidR="00C7670B" w:rsidRPr="00E30CCD" w:rsidRDefault="00715954" w:rsidP="00C7670B">
            <w:pPr>
              <w:jc w:val="right"/>
              <w:cnfStyle w:val="000000000000" w:firstRow="0" w:lastRow="0" w:firstColumn="0" w:lastColumn="0" w:oddVBand="0" w:evenVBand="0" w:oddHBand="0" w:evenHBand="0" w:firstRowFirstColumn="0" w:firstRowLastColumn="0" w:lastRowFirstColumn="0" w:lastRowLastColumn="0"/>
            </w:pPr>
            <w:r>
              <w:t>12,851.93</w:t>
            </w:r>
          </w:p>
        </w:tc>
        <w:tc>
          <w:tcPr>
            <w:tcW w:w="1745" w:type="dxa"/>
          </w:tcPr>
          <w:p w:rsidR="00C7670B" w:rsidRPr="00E30CCD" w:rsidRDefault="00946D2A" w:rsidP="00C7670B">
            <w:pPr>
              <w:jc w:val="right"/>
              <w:cnfStyle w:val="000000000000" w:firstRow="0" w:lastRow="0" w:firstColumn="0" w:lastColumn="0" w:oddVBand="0" w:evenVBand="0" w:oddHBand="0" w:evenHBand="0" w:firstRowFirstColumn="0" w:firstRowLastColumn="0" w:lastRowFirstColumn="0" w:lastRowLastColumn="0"/>
            </w:pPr>
            <w:r>
              <w:t>-14.85</w:t>
            </w:r>
          </w:p>
        </w:tc>
        <w:tc>
          <w:tcPr>
            <w:tcW w:w="1747" w:type="dxa"/>
          </w:tcPr>
          <w:p w:rsidR="00C7670B" w:rsidRDefault="00946D2A" w:rsidP="00C7670B">
            <w:pPr>
              <w:jc w:val="right"/>
              <w:cnfStyle w:val="000000000000" w:firstRow="0" w:lastRow="0" w:firstColumn="0" w:lastColumn="0" w:oddVBand="0" w:evenVBand="0" w:oddHBand="0" w:evenHBand="0" w:firstRowFirstColumn="0" w:firstRowLastColumn="0" w:lastRowFirstColumn="0" w:lastRowLastColumn="0"/>
            </w:pPr>
            <w:r>
              <w:t>-59.08</w:t>
            </w:r>
          </w:p>
        </w:tc>
      </w:tr>
      <w:tr w:rsidR="00C7670B" w:rsidTr="00C1350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174" w:type="dxa"/>
          </w:tcPr>
          <w:p w:rsidR="00C7670B" w:rsidRPr="00E531F9" w:rsidRDefault="00C7670B" w:rsidP="00C7670B">
            <w:pPr>
              <w:rPr>
                <w:b w:val="0"/>
              </w:rPr>
            </w:pPr>
            <w:r w:rsidRPr="00E531F9">
              <w:t>Total Revenue (J$’ million)</w:t>
            </w:r>
          </w:p>
        </w:tc>
        <w:tc>
          <w:tcPr>
            <w:tcW w:w="1836" w:type="dxa"/>
          </w:tcPr>
          <w:p w:rsidR="00C7670B"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8B27CC">
              <w:t>2,285.98</w:t>
            </w:r>
          </w:p>
        </w:tc>
        <w:tc>
          <w:tcPr>
            <w:tcW w:w="1862" w:type="dxa"/>
          </w:tcPr>
          <w:p w:rsidR="00C7670B" w:rsidRDefault="00C7670B" w:rsidP="00C7670B">
            <w:pPr>
              <w:jc w:val="right"/>
              <w:cnfStyle w:val="000000100000" w:firstRow="0" w:lastRow="0" w:firstColumn="0" w:lastColumn="0" w:oddVBand="0" w:evenVBand="0" w:oddHBand="1" w:evenHBand="0" w:firstRowFirstColumn="0" w:firstRowLastColumn="0" w:lastRowFirstColumn="0" w:lastRowLastColumn="0"/>
            </w:pPr>
            <w:r w:rsidRPr="00AE2B22">
              <w:t xml:space="preserve"> 2,062.41 </w:t>
            </w:r>
          </w:p>
        </w:tc>
        <w:tc>
          <w:tcPr>
            <w:tcW w:w="1718" w:type="dxa"/>
          </w:tcPr>
          <w:p w:rsidR="00C7670B" w:rsidRPr="001B7C0F" w:rsidRDefault="00946D2A" w:rsidP="00C7670B">
            <w:pPr>
              <w:jc w:val="right"/>
              <w:cnfStyle w:val="000000100000" w:firstRow="0" w:lastRow="0" w:firstColumn="0" w:lastColumn="0" w:oddVBand="0" w:evenVBand="0" w:oddHBand="1" w:evenHBand="0" w:firstRowFirstColumn="0" w:firstRowLastColumn="0" w:lastRowFirstColumn="0" w:lastRowLastColumn="0"/>
            </w:pPr>
            <w:r w:rsidRPr="00946D2A">
              <w:t>2,094.71</w:t>
            </w:r>
          </w:p>
        </w:tc>
        <w:tc>
          <w:tcPr>
            <w:tcW w:w="1745" w:type="dxa"/>
          </w:tcPr>
          <w:p w:rsidR="00C7670B" w:rsidRPr="001B7C0F" w:rsidRDefault="00946D2A" w:rsidP="00C7670B">
            <w:pPr>
              <w:jc w:val="right"/>
              <w:cnfStyle w:val="000000100000" w:firstRow="0" w:lastRow="0" w:firstColumn="0" w:lastColumn="0" w:oddVBand="0" w:evenVBand="0" w:oddHBand="1" w:evenHBand="0" w:firstRowFirstColumn="0" w:firstRowLastColumn="0" w:lastRowFirstColumn="0" w:lastRowLastColumn="0"/>
            </w:pPr>
            <w:r>
              <w:t>1.57</w:t>
            </w:r>
          </w:p>
        </w:tc>
        <w:tc>
          <w:tcPr>
            <w:tcW w:w="1747" w:type="dxa"/>
          </w:tcPr>
          <w:p w:rsidR="00C7670B" w:rsidRDefault="00946D2A" w:rsidP="00C7670B">
            <w:pPr>
              <w:jc w:val="right"/>
              <w:cnfStyle w:val="000000100000" w:firstRow="0" w:lastRow="0" w:firstColumn="0" w:lastColumn="0" w:oddVBand="0" w:evenVBand="0" w:oddHBand="1" w:evenHBand="0" w:firstRowFirstColumn="0" w:firstRowLastColumn="0" w:lastRowFirstColumn="0" w:lastRowLastColumn="0"/>
            </w:pPr>
            <w:r>
              <w:t>- 8.37</w:t>
            </w:r>
          </w:p>
        </w:tc>
      </w:tr>
    </w:tbl>
    <w:p w:rsidR="00F32736" w:rsidRDefault="00F32736" w:rsidP="00F32736"/>
    <w:tbl>
      <w:tblPr>
        <w:tblStyle w:val="GridTable4-Accent3"/>
        <w:tblW w:w="13176" w:type="dxa"/>
        <w:tblLayout w:type="fixed"/>
        <w:tblLook w:val="04A0" w:firstRow="1" w:lastRow="0" w:firstColumn="1" w:lastColumn="0" w:noHBand="0" w:noVBand="1"/>
      </w:tblPr>
      <w:tblGrid>
        <w:gridCol w:w="4156"/>
        <w:gridCol w:w="1804"/>
        <w:gridCol w:w="1804"/>
        <w:gridCol w:w="1804"/>
        <w:gridCol w:w="1804"/>
        <w:gridCol w:w="1804"/>
      </w:tblGrid>
      <w:tr w:rsidR="00F32736" w:rsidRPr="00E531F9" w:rsidTr="00113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6" w:type="dxa"/>
          </w:tcPr>
          <w:p w:rsidR="00F32736" w:rsidRPr="001130F6" w:rsidRDefault="00F32736" w:rsidP="00567520">
            <w:pPr>
              <w:rPr>
                <w:b w:val="0"/>
                <w:color w:val="auto"/>
              </w:rPr>
            </w:pPr>
            <w:r w:rsidRPr="001130F6">
              <w:rPr>
                <w:color w:val="auto"/>
              </w:rPr>
              <w:t xml:space="preserve">Mobile </w:t>
            </w:r>
            <w:r w:rsidR="00567520">
              <w:rPr>
                <w:color w:val="auto"/>
              </w:rPr>
              <w:t>Market</w:t>
            </w:r>
          </w:p>
        </w:tc>
        <w:tc>
          <w:tcPr>
            <w:tcW w:w="1804" w:type="dxa"/>
          </w:tcPr>
          <w:p w:rsidR="00F32736" w:rsidRPr="001130F6" w:rsidRDefault="00183673" w:rsidP="007B03B5">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7B03B5">
              <w:rPr>
                <w:color w:val="auto"/>
              </w:rPr>
              <w:t>4</w:t>
            </w:r>
            <w:r w:rsidR="00F32736" w:rsidRPr="001130F6">
              <w:rPr>
                <w:color w:val="auto"/>
              </w:rPr>
              <w:t xml:space="preserve"> 201</w:t>
            </w:r>
            <w:r w:rsidR="0073284B">
              <w:rPr>
                <w:color w:val="auto"/>
              </w:rPr>
              <w:t>7</w:t>
            </w:r>
          </w:p>
        </w:tc>
        <w:tc>
          <w:tcPr>
            <w:tcW w:w="1804" w:type="dxa"/>
          </w:tcPr>
          <w:p w:rsidR="00F32736" w:rsidRPr="001130F6" w:rsidRDefault="00183673" w:rsidP="004F0DC6">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7B03B5">
              <w:rPr>
                <w:color w:val="auto"/>
              </w:rPr>
              <w:t>3</w:t>
            </w:r>
            <w:r>
              <w:rPr>
                <w:color w:val="auto"/>
              </w:rPr>
              <w:t xml:space="preserve"> 201</w:t>
            </w:r>
            <w:r w:rsidR="002C124F">
              <w:rPr>
                <w:color w:val="auto"/>
              </w:rPr>
              <w:t>8</w:t>
            </w:r>
          </w:p>
        </w:tc>
        <w:tc>
          <w:tcPr>
            <w:tcW w:w="1804" w:type="dxa"/>
          </w:tcPr>
          <w:p w:rsidR="00F32736" w:rsidRPr="001130F6" w:rsidRDefault="00183673" w:rsidP="007B03B5">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7B03B5">
              <w:rPr>
                <w:color w:val="auto"/>
              </w:rPr>
              <w:t>4</w:t>
            </w:r>
            <w:r w:rsidR="00F32736" w:rsidRPr="001130F6">
              <w:rPr>
                <w:color w:val="auto"/>
              </w:rPr>
              <w:t xml:space="preserve"> 201</w:t>
            </w:r>
            <w:r w:rsidR="0073284B">
              <w:rPr>
                <w:color w:val="auto"/>
              </w:rPr>
              <w:t>8</w:t>
            </w:r>
          </w:p>
        </w:tc>
        <w:tc>
          <w:tcPr>
            <w:tcW w:w="1804" w:type="dxa"/>
          </w:tcPr>
          <w:p w:rsidR="00F32736" w:rsidRPr="001130F6" w:rsidRDefault="00F32736" w:rsidP="00D140A8">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 Change</w:t>
            </w:r>
          </w:p>
          <w:p w:rsidR="00F32736" w:rsidRPr="001130F6" w:rsidRDefault="00F32736" w:rsidP="007B03B5">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Q</w:t>
            </w:r>
            <w:r w:rsidR="001E02EB">
              <w:rPr>
                <w:color w:val="auto"/>
              </w:rPr>
              <w:t>4</w:t>
            </w:r>
            <w:r w:rsidR="004E126A">
              <w:rPr>
                <w:color w:val="auto"/>
              </w:rPr>
              <w:t xml:space="preserve"> </w:t>
            </w:r>
            <w:r w:rsidRPr="001130F6">
              <w:rPr>
                <w:color w:val="auto"/>
              </w:rPr>
              <w:t>‘1</w:t>
            </w:r>
            <w:r w:rsidR="0073284B">
              <w:rPr>
                <w:color w:val="auto"/>
              </w:rPr>
              <w:t>8</w:t>
            </w:r>
            <w:r w:rsidRPr="001130F6">
              <w:rPr>
                <w:color w:val="auto"/>
              </w:rPr>
              <w:t>/Q</w:t>
            </w:r>
            <w:r w:rsidR="007B03B5">
              <w:rPr>
                <w:color w:val="auto"/>
              </w:rPr>
              <w:t>4</w:t>
            </w:r>
            <w:r w:rsidR="004E126A">
              <w:rPr>
                <w:color w:val="auto"/>
              </w:rPr>
              <w:t xml:space="preserve"> </w:t>
            </w:r>
            <w:r w:rsidRPr="001130F6">
              <w:rPr>
                <w:color w:val="auto"/>
              </w:rPr>
              <w:t>’1</w:t>
            </w:r>
            <w:r w:rsidR="002C124F">
              <w:rPr>
                <w:color w:val="auto"/>
              </w:rPr>
              <w:t>8</w:t>
            </w:r>
          </w:p>
        </w:tc>
        <w:tc>
          <w:tcPr>
            <w:tcW w:w="1804" w:type="dxa"/>
          </w:tcPr>
          <w:p w:rsidR="00F32736" w:rsidRPr="001130F6" w:rsidRDefault="00F32736" w:rsidP="00D140A8">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 Change</w:t>
            </w:r>
          </w:p>
          <w:p w:rsidR="00F32736" w:rsidRPr="001130F6" w:rsidRDefault="00183673" w:rsidP="001E02EB">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1E02EB">
              <w:rPr>
                <w:color w:val="auto"/>
              </w:rPr>
              <w:t>4</w:t>
            </w:r>
            <w:r w:rsidR="004E126A">
              <w:rPr>
                <w:color w:val="auto"/>
              </w:rPr>
              <w:t xml:space="preserve"> </w:t>
            </w:r>
            <w:r w:rsidR="00F32736" w:rsidRPr="001130F6">
              <w:rPr>
                <w:color w:val="auto"/>
              </w:rPr>
              <w:t>‘1</w:t>
            </w:r>
            <w:r w:rsidR="0073284B">
              <w:rPr>
                <w:color w:val="auto"/>
              </w:rPr>
              <w:t>8</w:t>
            </w:r>
            <w:r w:rsidR="00F32736" w:rsidRPr="001130F6">
              <w:rPr>
                <w:color w:val="auto"/>
              </w:rPr>
              <w:t>/Q</w:t>
            </w:r>
            <w:r w:rsidR="001E02EB">
              <w:rPr>
                <w:color w:val="auto"/>
              </w:rPr>
              <w:t>4</w:t>
            </w:r>
            <w:r w:rsidR="00B90AC9">
              <w:rPr>
                <w:color w:val="auto"/>
              </w:rPr>
              <w:t xml:space="preserve"> ‘1</w:t>
            </w:r>
            <w:r w:rsidR="0073284B">
              <w:rPr>
                <w:color w:val="auto"/>
              </w:rPr>
              <w:t>7</w:t>
            </w:r>
          </w:p>
        </w:tc>
      </w:tr>
      <w:tr w:rsidR="007B03B5" w:rsidTr="0011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Total Subscription</w:t>
            </w:r>
            <w:r>
              <w:t>s</w:t>
            </w:r>
            <w:r w:rsidRPr="00E531F9">
              <w:t xml:space="preserve"> (‘000)</w:t>
            </w:r>
          </w:p>
        </w:tc>
        <w:tc>
          <w:tcPr>
            <w:tcW w:w="1804" w:type="dxa"/>
          </w:tcPr>
          <w:p w:rsidR="007B03B5" w:rsidRPr="007205A3"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7205A3">
              <w:t>3,091.22</w:t>
            </w:r>
          </w:p>
        </w:tc>
        <w:tc>
          <w:tcPr>
            <w:tcW w:w="1804" w:type="dxa"/>
          </w:tcPr>
          <w:p w:rsidR="007B03B5" w:rsidRPr="00D8318B"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D8318B">
              <w:t xml:space="preserve"> 3,183.74 </w:t>
            </w:r>
          </w:p>
        </w:tc>
        <w:tc>
          <w:tcPr>
            <w:tcW w:w="1804" w:type="dxa"/>
          </w:tcPr>
          <w:p w:rsidR="007B03B5" w:rsidRPr="001935C7" w:rsidRDefault="007B03B5" w:rsidP="007B03B5">
            <w:pPr>
              <w:jc w:val="right"/>
              <w:cnfStyle w:val="000000100000" w:firstRow="0" w:lastRow="0" w:firstColumn="0" w:lastColumn="0" w:oddVBand="0" w:evenVBand="0" w:oddHBand="1" w:evenHBand="0" w:firstRowFirstColumn="0" w:firstRowLastColumn="0" w:lastRowFirstColumn="0" w:lastRowLastColumn="0"/>
            </w:pPr>
            <w:r>
              <w:t>2,964.97</w:t>
            </w:r>
          </w:p>
        </w:tc>
        <w:tc>
          <w:tcPr>
            <w:tcW w:w="1804" w:type="dxa"/>
          </w:tcPr>
          <w:p w:rsidR="007B03B5" w:rsidRPr="001935C7" w:rsidRDefault="007B03B5" w:rsidP="007B03B5">
            <w:pPr>
              <w:pStyle w:val="ListParagraph"/>
              <w:jc w:val="right"/>
              <w:cnfStyle w:val="000000100000" w:firstRow="0" w:lastRow="0" w:firstColumn="0" w:lastColumn="0" w:oddVBand="0" w:evenVBand="0" w:oddHBand="1" w:evenHBand="0" w:firstRowFirstColumn="0" w:firstRowLastColumn="0" w:lastRowFirstColumn="0" w:lastRowLastColumn="0"/>
            </w:pPr>
            <w:r>
              <w:t>-6.87</w:t>
            </w:r>
          </w:p>
        </w:tc>
        <w:tc>
          <w:tcPr>
            <w:tcW w:w="1804" w:type="dxa"/>
          </w:tcPr>
          <w:p w:rsidR="007B03B5" w:rsidRDefault="007B03B5" w:rsidP="007B03B5">
            <w:pPr>
              <w:pStyle w:val="ListParagraph"/>
              <w:jc w:val="right"/>
              <w:cnfStyle w:val="000000100000" w:firstRow="0" w:lastRow="0" w:firstColumn="0" w:lastColumn="0" w:oddVBand="0" w:evenVBand="0" w:oddHBand="1" w:evenHBand="0" w:firstRowFirstColumn="0" w:firstRowLastColumn="0" w:lastRowFirstColumn="0" w:lastRowLastColumn="0"/>
            </w:pPr>
            <w:r>
              <w:t>-4.08</w:t>
            </w:r>
          </w:p>
        </w:tc>
      </w:tr>
      <w:tr w:rsidR="007B03B5" w:rsidTr="001130F6">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On</w:t>
            </w:r>
            <w:r>
              <w:t>-</w:t>
            </w:r>
            <w:r w:rsidRPr="00E531F9">
              <w:t>Net Calls (‘000 minutes)</w:t>
            </w:r>
          </w:p>
        </w:tc>
        <w:tc>
          <w:tcPr>
            <w:tcW w:w="1804" w:type="dxa"/>
          </w:tcPr>
          <w:p w:rsidR="007B03B5" w:rsidRPr="007205A3"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7205A3">
              <w:t>692,081.79</w:t>
            </w:r>
          </w:p>
        </w:tc>
        <w:tc>
          <w:tcPr>
            <w:tcW w:w="1804" w:type="dxa"/>
          </w:tcPr>
          <w:p w:rsidR="007B03B5" w:rsidRPr="00D8318B"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D8318B">
              <w:t xml:space="preserve"> 840,355.34 </w:t>
            </w:r>
          </w:p>
        </w:tc>
        <w:tc>
          <w:tcPr>
            <w:tcW w:w="1804" w:type="dxa"/>
          </w:tcPr>
          <w:p w:rsidR="007B03B5" w:rsidRPr="008D2B1B" w:rsidRDefault="007B03B5" w:rsidP="007B03B5">
            <w:pPr>
              <w:jc w:val="right"/>
              <w:cnfStyle w:val="000000000000" w:firstRow="0" w:lastRow="0" w:firstColumn="0" w:lastColumn="0" w:oddVBand="0" w:evenVBand="0" w:oddHBand="0" w:evenHBand="0" w:firstRowFirstColumn="0" w:firstRowLastColumn="0" w:lastRowFirstColumn="0" w:lastRowLastColumn="0"/>
            </w:pPr>
            <w:r>
              <w:t>914,632.71</w:t>
            </w:r>
          </w:p>
        </w:tc>
        <w:tc>
          <w:tcPr>
            <w:tcW w:w="1804" w:type="dxa"/>
          </w:tcPr>
          <w:p w:rsidR="007B03B5" w:rsidRPr="008D2B1B" w:rsidRDefault="007B03B5" w:rsidP="007B03B5">
            <w:pPr>
              <w:jc w:val="right"/>
              <w:cnfStyle w:val="000000000000" w:firstRow="0" w:lastRow="0" w:firstColumn="0" w:lastColumn="0" w:oddVBand="0" w:evenVBand="0" w:oddHBand="0" w:evenHBand="0" w:firstRowFirstColumn="0" w:firstRowLastColumn="0" w:lastRowFirstColumn="0" w:lastRowLastColumn="0"/>
            </w:pPr>
            <w:r>
              <w:t>8.84</w:t>
            </w:r>
          </w:p>
        </w:tc>
        <w:tc>
          <w:tcPr>
            <w:tcW w:w="1804" w:type="dxa"/>
          </w:tcPr>
          <w:p w:rsidR="007B03B5" w:rsidRDefault="007B03B5" w:rsidP="007B03B5">
            <w:pPr>
              <w:jc w:val="right"/>
              <w:cnfStyle w:val="000000000000" w:firstRow="0" w:lastRow="0" w:firstColumn="0" w:lastColumn="0" w:oddVBand="0" w:evenVBand="0" w:oddHBand="0" w:evenHBand="0" w:firstRowFirstColumn="0" w:firstRowLastColumn="0" w:lastRowFirstColumn="0" w:lastRowLastColumn="0"/>
            </w:pPr>
            <w:r>
              <w:t>32.16</w:t>
            </w:r>
          </w:p>
        </w:tc>
      </w:tr>
      <w:tr w:rsidR="007B03B5" w:rsidTr="0011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Off-Net Calls (‘000 minutes)</w:t>
            </w:r>
          </w:p>
        </w:tc>
        <w:tc>
          <w:tcPr>
            <w:tcW w:w="1804" w:type="dxa"/>
          </w:tcPr>
          <w:p w:rsidR="007B03B5" w:rsidRPr="007205A3"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7205A3">
              <w:t>478,843.71</w:t>
            </w:r>
          </w:p>
        </w:tc>
        <w:tc>
          <w:tcPr>
            <w:tcW w:w="1804" w:type="dxa"/>
          </w:tcPr>
          <w:p w:rsidR="007B03B5" w:rsidRPr="00D8318B"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D8318B">
              <w:t xml:space="preserve"> 393,768.45 </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410,231.22</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4.18</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-14.33</w:t>
            </w:r>
          </w:p>
        </w:tc>
      </w:tr>
      <w:tr w:rsidR="007B03B5" w:rsidTr="001130F6">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International calls</w:t>
            </w:r>
          </w:p>
        </w:tc>
        <w:tc>
          <w:tcPr>
            <w:tcW w:w="1804" w:type="dxa"/>
          </w:tcPr>
          <w:p w:rsidR="007B03B5" w:rsidRPr="007205A3"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7205A3">
              <w:t>300,925.95</w:t>
            </w:r>
          </w:p>
        </w:tc>
        <w:tc>
          <w:tcPr>
            <w:tcW w:w="1804" w:type="dxa"/>
          </w:tcPr>
          <w:p w:rsidR="007B03B5" w:rsidRPr="00D8318B"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D8318B">
              <w:t xml:space="preserve"> 253,433.03 </w:t>
            </w:r>
          </w:p>
        </w:tc>
        <w:tc>
          <w:tcPr>
            <w:tcW w:w="1804" w:type="dxa"/>
          </w:tcPr>
          <w:p w:rsidR="007B03B5" w:rsidRPr="008C77D7" w:rsidRDefault="007B03B5" w:rsidP="007B03B5">
            <w:pPr>
              <w:jc w:val="right"/>
              <w:cnfStyle w:val="000000000000" w:firstRow="0" w:lastRow="0" w:firstColumn="0" w:lastColumn="0" w:oddVBand="0" w:evenVBand="0" w:oddHBand="0" w:evenHBand="0" w:firstRowFirstColumn="0" w:firstRowLastColumn="0" w:lastRowFirstColumn="0" w:lastRowLastColumn="0"/>
            </w:pPr>
            <w:r>
              <w:t>233,155.92</w:t>
            </w:r>
          </w:p>
        </w:tc>
        <w:tc>
          <w:tcPr>
            <w:tcW w:w="1804" w:type="dxa"/>
          </w:tcPr>
          <w:p w:rsidR="007B03B5" w:rsidRPr="008C77D7" w:rsidRDefault="007B03B5" w:rsidP="007B03B5">
            <w:pPr>
              <w:jc w:val="right"/>
              <w:cnfStyle w:val="000000000000" w:firstRow="0" w:lastRow="0" w:firstColumn="0" w:lastColumn="0" w:oddVBand="0" w:evenVBand="0" w:oddHBand="0" w:evenHBand="0" w:firstRowFirstColumn="0" w:firstRowLastColumn="0" w:lastRowFirstColumn="0" w:lastRowLastColumn="0"/>
            </w:pPr>
            <w:r>
              <w:t>-8.00</w:t>
            </w:r>
          </w:p>
        </w:tc>
        <w:tc>
          <w:tcPr>
            <w:tcW w:w="1804" w:type="dxa"/>
          </w:tcPr>
          <w:p w:rsidR="007B03B5" w:rsidRPr="008C77D7" w:rsidRDefault="007B03B5" w:rsidP="007B03B5">
            <w:pPr>
              <w:jc w:val="right"/>
              <w:cnfStyle w:val="000000000000" w:firstRow="0" w:lastRow="0" w:firstColumn="0" w:lastColumn="0" w:oddVBand="0" w:evenVBand="0" w:oddHBand="0" w:evenHBand="0" w:firstRowFirstColumn="0" w:firstRowLastColumn="0" w:lastRowFirstColumn="0" w:lastRowLastColumn="0"/>
            </w:pPr>
            <w:r>
              <w:t>-22.52</w:t>
            </w:r>
          </w:p>
        </w:tc>
      </w:tr>
      <w:tr w:rsidR="007B03B5" w:rsidTr="0011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Outgoing International (‘000 minutes)</w:t>
            </w:r>
          </w:p>
        </w:tc>
        <w:tc>
          <w:tcPr>
            <w:tcW w:w="1804" w:type="dxa"/>
          </w:tcPr>
          <w:p w:rsidR="007B03B5" w:rsidRPr="007205A3"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7205A3">
              <w:t>237,743.37</w:t>
            </w:r>
          </w:p>
        </w:tc>
        <w:tc>
          <w:tcPr>
            <w:tcW w:w="1804" w:type="dxa"/>
          </w:tcPr>
          <w:p w:rsidR="007B03B5" w:rsidRPr="00D8318B"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D8318B">
              <w:t xml:space="preserve"> 206,282.67 </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189,730.02</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-8.02</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-20.20</w:t>
            </w:r>
          </w:p>
        </w:tc>
      </w:tr>
      <w:tr w:rsidR="007B03B5" w:rsidTr="001130F6">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Incoming International (‘000 minutes)</w:t>
            </w:r>
          </w:p>
        </w:tc>
        <w:tc>
          <w:tcPr>
            <w:tcW w:w="1804" w:type="dxa"/>
          </w:tcPr>
          <w:p w:rsidR="007B03B5" w:rsidRPr="007205A3"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7205A3">
              <w:t>63,182.58</w:t>
            </w:r>
          </w:p>
        </w:tc>
        <w:tc>
          <w:tcPr>
            <w:tcW w:w="1804" w:type="dxa"/>
          </w:tcPr>
          <w:p w:rsidR="007B03B5" w:rsidRPr="00D8318B"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D8318B">
              <w:t xml:space="preserve"> 47,150.36 </w:t>
            </w:r>
          </w:p>
        </w:tc>
        <w:tc>
          <w:tcPr>
            <w:tcW w:w="1804" w:type="dxa"/>
          </w:tcPr>
          <w:p w:rsidR="007B03B5" w:rsidRPr="008C77D7" w:rsidRDefault="007B03B5" w:rsidP="007B03B5">
            <w:pPr>
              <w:jc w:val="right"/>
              <w:cnfStyle w:val="000000000000" w:firstRow="0" w:lastRow="0" w:firstColumn="0" w:lastColumn="0" w:oddVBand="0" w:evenVBand="0" w:oddHBand="0" w:evenHBand="0" w:firstRowFirstColumn="0" w:firstRowLastColumn="0" w:lastRowFirstColumn="0" w:lastRowLastColumn="0"/>
            </w:pPr>
            <w:r>
              <w:t>43,425.90</w:t>
            </w:r>
          </w:p>
        </w:tc>
        <w:tc>
          <w:tcPr>
            <w:tcW w:w="1804" w:type="dxa"/>
          </w:tcPr>
          <w:p w:rsidR="007B03B5" w:rsidRPr="008C77D7" w:rsidRDefault="007B03B5" w:rsidP="007B03B5">
            <w:pPr>
              <w:jc w:val="right"/>
              <w:cnfStyle w:val="000000000000" w:firstRow="0" w:lastRow="0" w:firstColumn="0" w:lastColumn="0" w:oddVBand="0" w:evenVBand="0" w:oddHBand="0" w:evenHBand="0" w:firstRowFirstColumn="0" w:firstRowLastColumn="0" w:lastRowFirstColumn="0" w:lastRowLastColumn="0"/>
            </w:pPr>
            <w:r>
              <w:t>-7.90</w:t>
            </w:r>
          </w:p>
        </w:tc>
        <w:tc>
          <w:tcPr>
            <w:tcW w:w="1804" w:type="dxa"/>
          </w:tcPr>
          <w:p w:rsidR="007B03B5" w:rsidRPr="008C77D7" w:rsidRDefault="007B03B5" w:rsidP="007B03B5">
            <w:pPr>
              <w:jc w:val="right"/>
              <w:cnfStyle w:val="000000000000" w:firstRow="0" w:lastRow="0" w:firstColumn="0" w:lastColumn="0" w:oddVBand="0" w:evenVBand="0" w:oddHBand="0" w:evenHBand="0" w:firstRowFirstColumn="0" w:firstRowLastColumn="0" w:lastRowFirstColumn="0" w:lastRowLastColumn="0"/>
            </w:pPr>
            <w:r>
              <w:t>-31.27</w:t>
            </w:r>
          </w:p>
        </w:tc>
      </w:tr>
      <w:tr w:rsidR="007B03B5" w:rsidTr="00113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SMS and other mobile data traffic</w:t>
            </w:r>
          </w:p>
        </w:tc>
        <w:tc>
          <w:tcPr>
            <w:tcW w:w="1804" w:type="dxa"/>
          </w:tcPr>
          <w:p w:rsidR="007B03B5" w:rsidRPr="007205A3"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7205A3">
              <w:t>209,736.28</w:t>
            </w:r>
          </w:p>
        </w:tc>
        <w:tc>
          <w:tcPr>
            <w:tcW w:w="1804" w:type="dxa"/>
          </w:tcPr>
          <w:p w:rsidR="007B03B5" w:rsidRPr="00D8318B" w:rsidRDefault="007B03B5" w:rsidP="007B03B5">
            <w:pPr>
              <w:jc w:val="right"/>
              <w:cnfStyle w:val="000000100000" w:firstRow="0" w:lastRow="0" w:firstColumn="0" w:lastColumn="0" w:oddVBand="0" w:evenVBand="0" w:oddHBand="1" w:evenHBand="0" w:firstRowFirstColumn="0" w:firstRowLastColumn="0" w:lastRowFirstColumn="0" w:lastRowLastColumn="0"/>
            </w:pPr>
            <w:r w:rsidRPr="00D8318B">
              <w:t xml:space="preserve"> 122,168.88 </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120,759.14</w:t>
            </w:r>
          </w:p>
        </w:tc>
        <w:tc>
          <w:tcPr>
            <w:tcW w:w="1804" w:type="dxa"/>
          </w:tcPr>
          <w:p w:rsidR="007B03B5" w:rsidRPr="008C77D7" w:rsidRDefault="007B03B5" w:rsidP="007B03B5">
            <w:pPr>
              <w:jc w:val="right"/>
              <w:cnfStyle w:val="000000100000" w:firstRow="0" w:lastRow="0" w:firstColumn="0" w:lastColumn="0" w:oddVBand="0" w:evenVBand="0" w:oddHBand="1" w:evenHBand="0" w:firstRowFirstColumn="0" w:firstRowLastColumn="0" w:lastRowFirstColumn="0" w:lastRowLastColumn="0"/>
            </w:pPr>
            <w:r>
              <w:t>-1.15</w:t>
            </w:r>
          </w:p>
        </w:tc>
        <w:tc>
          <w:tcPr>
            <w:tcW w:w="1804" w:type="dxa"/>
          </w:tcPr>
          <w:p w:rsidR="007B03B5" w:rsidRDefault="007B03B5" w:rsidP="007B03B5">
            <w:pPr>
              <w:jc w:val="right"/>
              <w:cnfStyle w:val="000000100000" w:firstRow="0" w:lastRow="0" w:firstColumn="0" w:lastColumn="0" w:oddVBand="0" w:evenVBand="0" w:oddHBand="1" w:evenHBand="0" w:firstRowFirstColumn="0" w:firstRowLastColumn="0" w:lastRowFirstColumn="0" w:lastRowLastColumn="0"/>
            </w:pPr>
            <w:r>
              <w:t>-42.42</w:t>
            </w:r>
          </w:p>
        </w:tc>
      </w:tr>
      <w:tr w:rsidR="007B03B5" w:rsidTr="001130F6">
        <w:tc>
          <w:tcPr>
            <w:cnfStyle w:val="001000000000" w:firstRow="0" w:lastRow="0" w:firstColumn="1" w:lastColumn="0" w:oddVBand="0" w:evenVBand="0" w:oddHBand="0" w:evenHBand="0" w:firstRowFirstColumn="0" w:firstRowLastColumn="0" w:lastRowFirstColumn="0" w:lastRowLastColumn="0"/>
            <w:tcW w:w="4156" w:type="dxa"/>
          </w:tcPr>
          <w:p w:rsidR="007B03B5" w:rsidRPr="00E531F9" w:rsidRDefault="007B03B5" w:rsidP="007B03B5">
            <w:pPr>
              <w:rPr>
                <w:b w:val="0"/>
              </w:rPr>
            </w:pPr>
            <w:r w:rsidRPr="00E531F9">
              <w:t>Total Revenue (J$ ‘ million)</w:t>
            </w:r>
          </w:p>
        </w:tc>
        <w:tc>
          <w:tcPr>
            <w:tcW w:w="1804" w:type="dxa"/>
          </w:tcPr>
          <w:p w:rsidR="007B03B5"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7205A3">
              <w:t>13,089.75</w:t>
            </w:r>
          </w:p>
        </w:tc>
        <w:tc>
          <w:tcPr>
            <w:tcW w:w="1804" w:type="dxa"/>
          </w:tcPr>
          <w:p w:rsidR="007B03B5"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D8318B">
              <w:t>11,640.15</w:t>
            </w:r>
          </w:p>
        </w:tc>
        <w:tc>
          <w:tcPr>
            <w:tcW w:w="1804" w:type="dxa"/>
          </w:tcPr>
          <w:p w:rsidR="007B03B5" w:rsidRDefault="007B03B5" w:rsidP="007B03B5">
            <w:pPr>
              <w:jc w:val="right"/>
              <w:cnfStyle w:val="000000000000" w:firstRow="0" w:lastRow="0" w:firstColumn="0" w:lastColumn="0" w:oddVBand="0" w:evenVBand="0" w:oddHBand="0" w:evenHBand="0" w:firstRowFirstColumn="0" w:firstRowLastColumn="0" w:lastRowFirstColumn="0" w:lastRowLastColumn="0"/>
            </w:pPr>
            <w:r w:rsidRPr="001E02EB">
              <w:t>12,237.22</w:t>
            </w:r>
          </w:p>
        </w:tc>
        <w:tc>
          <w:tcPr>
            <w:tcW w:w="1804" w:type="dxa"/>
          </w:tcPr>
          <w:p w:rsidR="007B03B5" w:rsidRPr="004B2FA4" w:rsidRDefault="007B03B5" w:rsidP="007B03B5">
            <w:pPr>
              <w:jc w:val="right"/>
              <w:cnfStyle w:val="000000000000" w:firstRow="0" w:lastRow="0" w:firstColumn="0" w:lastColumn="0" w:oddVBand="0" w:evenVBand="0" w:oddHBand="0" w:evenHBand="0" w:firstRowFirstColumn="0" w:firstRowLastColumn="0" w:lastRowFirstColumn="0" w:lastRowLastColumn="0"/>
            </w:pPr>
            <w:r>
              <w:t>5.13</w:t>
            </w:r>
          </w:p>
        </w:tc>
        <w:tc>
          <w:tcPr>
            <w:tcW w:w="1804" w:type="dxa"/>
          </w:tcPr>
          <w:p w:rsidR="007B03B5" w:rsidRDefault="007B03B5" w:rsidP="007B03B5">
            <w:pPr>
              <w:jc w:val="right"/>
              <w:cnfStyle w:val="000000000000" w:firstRow="0" w:lastRow="0" w:firstColumn="0" w:lastColumn="0" w:oddVBand="0" w:evenVBand="0" w:oddHBand="0" w:evenHBand="0" w:firstRowFirstColumn="0" w:firstRowLastColumn="0" w:lastRowFirstColumn="0" w:lastRowLastColumn="0"/>
            </w:pPr>
            <w:r>
              <w:t>-6.51</w:t>
            </w:r>
          </w:p>
        </w:tc>
      </w:tr>
    </w:tbl>
    <w:p w:rsidR="00F32736" w:rsidRDefault="00F32736" w:rsidP="00F32736"/>
    <w:tbl>
      <w:tblPr>
        <w:tblStyle w:val="GridTable4-Accent3"/>
        <w:tblW w:w="13187" w:type="dxa"/>
        <w:tblLook w:val="04A0" w:firstRow="1" w:lastRow="0" w:firstColumn="1" w:lastColumn="0" w:noHBand="0" w:noVBand="1"/>
      </w:tblPr>
      <w:tblGrid>
        <w:gridCol w:w="4090"/>
        <w:gridCol w:w="1835"/>
        <w:gridCol w:w="1696"/>
        <w:gridCol w:w="1978"/>
        <w:gridCol w:w="1741"/>
        <w:gridCol w:w="1847"/>
      </w:tblGrid>
      <w:tr w:rsidR="00C478C9" w:rsidRPr="00E531F9" w:rsidTr="00651228">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4090" w:type="dxa"/>
          </w:tcPr>
          <w:p w:rsidR="00F32736" w:rsidRPr="001130F6" w:rsidRDefault="00F32736" w:rsidP="00567520">
            <w:pPr>
              <w:rPr>
                <w:b w:val="0"/>
                <w:color w:val="auto"/>
              </w:rPr>
            </w:pPr>
            <w:r w:rsidRPr="001130F6">
              <w:rPr>
                <w:color w:val="auto"/>
              </w:rPr>
              <w:t xml:space="preserve">Internet </w:t>
            </w:r>
            <w:r w:rsidR="00567520">
              <w:rPr>
                <w:color w:val="auto"/>
              </w:rPr>
              <w:t>Market</w:t>
            </w:r>
          </w:p>
        </w:tc>
        <w:tc>
          <w:tcPr>
            <w:tcW w:w="1835" w:type="dxa"/>
          </w:tcPr>
          <w:p w:rsidR="00F32736" w:rsidRPr="001130F6" w:rsidRDefault="00183673" w:rsidP="00B26241">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B26241">
              <w:rPr>
                <w:color w:val="auto"/>
              </w:rPr>
              <w:t>4</w:t>
            </w:r>
            <w:r w:rsidR="00F32736" w:rsidRPr="001130F6">
              <w:rPr>
                <w:color w:val="auto"/>
              </w:rPr>
              <w:t xml:space="preserve"> 201</w:t>
            </w:r>
            <w:r w:rsidR="00651228">
              <w:rPr>
                <w:color w:val="auto"/>
              </w:rPr>
              <w:t>7</w:t>
            </w:r>
          </w:p>
        </w:tc>
        <w:tc>
          <w:tcPr>
            <w:tcW w:w="1696" w:type="dxa"/>
          </w:tcPr>
          <w:p w:rsidR="00F32736" w:rsidRPr="001130F6" w:rsidRDefault="00F32736" w:rsidP="00B26241">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Q</w:t>
            </w:r>
            <w:r w:rsidR="00B26241">
              <w:rPr>
                <w:color w:val="auto"/>
              </w:rPr>
              <w:t>3</w:t>
            </w:r>
            <w:r w:rsidRPr="001130F6">
              <w:rPr>
                <w:color w:val="auto"/>
              </w:rPr>
              <w:t xml:space="preserve"> 201</w:t>
            </w:r>
            <w:r w:rsidR="003B317E">
              <w:rPr>
                <w:color w:val="auto"/>
              </w:rPr>
              <w:t>8</w:t>
            </w:r>
          </w:p>
        </w:tc>
        <w:tc>
          <w:tcPr>
            <w:tcW w:w="1978" w:type="dxa"/>
          </w:tcPr>
          <w:p w:rsidR="00F32736" w:rsidRPr="001130F6" w:rsidRDefault="00F32736" w:rsidP="00C13501">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Q</w:t>
            </w:r>
            <w:r w:rsidR="00B26241">
              <w:rPr>
                <w:color w:val="auto"/>
              </w:rPr>
              <w:t>4</w:t>
            </w:r>
            <w:r w:rsidRPr="001130F6">
              <w:rPr>
                <w:color w:val="auto"/>
              </w:rPr>
              <w:t xml:space="preserve"> 201</w:t>
            </w:r>
            <w:r w:rsidR="00651228">
              <w:rPr>
                <w:color w:val="auto"/>
              </w:rPr>
              <w:t>8</w:t>
            </w:r>
          </w:p>
        </w:tc>
        <w:tc>
          <w:tcPr>
            <w:tcW w:w="1741" w:type="dxa"/>
          </w:tcPr>
          <w:p w:rsidR="00F32736" w:rsidRPr="001130F6" w:rsidRDefault="00F32736" w:rsidP="00D140A8">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 Change</w:t>
            </w:r>
          </w:p>
          <w:p w:rsidR="00F32736" w:rsidRPr="001130F6" w:rsidRDefault="00183673" w:rsidP="00B26241">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B26241">
              <w:rPr>
                <w:color w:val="auto"/>
              </w:rPr>
              <w:t>4</w:t>
            </w:r>
            <w:r w:rsidR="00196536">
              <w:rPr>
                <w:color w:val="auto"/>
              </w:rPr>
              <w:t xml:space="preserve"> </w:t>
            </w:r>
            <w:r w:rsidR="00B90AC9">
              <w:rPr>
                <w:color w:val="auto"/>
              </w:rPr>
              <w:t>‘1</w:t>
            </w:r>
            <w:r w:rsidR="00651228">
              <w:rPr>
                <w:color w:val="auto"/>
              </w:rPr>
              <w:t>8</w:t>
            </w:r>
            <w:r w:rsidR="00097A06">
              <w:rPr>
                <w:color w:val="auto"/>
              </w:rPr>
              <w:t>/Q</w:t>
            </w:r>
            <w:r w:rsidR="00B26241">
              <w:rPr>
                <w:color w:val="auto"/>
              </w:rPr>
              <w:t>3</w:t>
            </w:r>
            <w:r w:rsidR="00651228">
              <w:rPr>
                <w:color w:val="auto"/>
              </w:rPr>
              <w:t xml:space="preserve"> </w:t>
            </w:r>
            <w:r>
              <w:rPr>
                <w:color w:val="auto"/>
              </w:rPr>
              <w:t>’1</w:t>
            </w:r>
            <w:r w:rsidR="00556A7B">
              <w:rPr>
                <w:color w:val="auto"/>
              </w:rPr>
              <w:t>8</w:t>
            </w:r>
          </w:p>
        </w:tc>
        <w:tc>
          <w:tcPr>
            <w:tcW w:w="1847" w:type="dxa"/>
          </w:tcPr>
          <w:p w:rsidR="00F32736" w:rsidRPr="001130F6" w:rsidRDefault="00F32736" w:rsidP="00D140A8">
            <w:pPr>
              <w:jc w:val="center"/>
              <w:cnfStyle w:val="100000000000" w:firstRow="1" w:lastRow="0" w:firstColumn="0" w:lastColumn="0" w:oddVBand="0" w:evenVBand="0" w:oddHBand="0" w:evenHBand="0" w:firstRowFirstColumn="0" w:firstRowLastColumn="0" w:lastRowFirstColumn="0" w:lastRowLastColumn="0"/>
              <w:rPr>
                <w:b w:val="0"/>
                <w:color w:val="auto"/>
              </w:rPr>
            </w:pPr>
            <w:r w:rsidRPr="001130F6">
              <w:rPr>
                <w:color w:val="auto"/>
              </w:rPr>
              <w:t>% Change</w:t>
            </w:r>
          </w:p>
          <w:p w:rsidR="00F32736" w:rsidRPr="001130F6" w:rsidRDefault="00183673" w:rsidP="00B26241">
            <w:pPr>
              <w:jc w:val="center"/>
              <w:cnfStyle w:val="100000000000" w:firstRow="1" w:lastRow="0" w:firstColumn="0" w:lastColumn="0" w:oddVBand="0" w:evenVBand="0" w:oddHBand="0" w:evenHBand="0" w:firstRowFirstColumn="0" w:firstRowLastColumn="0" w:lastRowFirstColumn="0" w:lastRowLastColumn="0"/>
              <w:rPr>
                <w:b w:val="0"/>
                <w:color w:val="auto"/>
              </w:rPr>
            </w:pPr>
            <w:r>
              <w:rPr>
                <w:color w:val="auto"/>
              </w:rPr>
              <w:t>Q</w:t>
            </w:r>
            <w:r w:rsidR="00B26241">
              <w:rPr>
                <w:color w:val="auto"/>
              </w:rPr>
              <w:t>4</w:t>
            </w:r>
            <w:r w:rsidR="00651228">
              <w:rPr>
                <w:color w:val="auto"/>
              </w:rPr>
              <w:t xml:space="preserve"> </w:t>
            </w:r>
            <w:r w:rsidR="00B90AC9">
              <w:rPr>
                <w:color w:val="auto"/>
              </w:rPr>
              <w:t>‘1</w:t>
            </w:r>
            <w:r w:rsidR="00651228">
              <w:rPr>
                <w:color w:val="auto"/>
              </w:rPr>
              <w:t>8</w:t>
            </w:r>
            <w:r>
              <w:rPr>
                <w:color w:val="auto"/>
              </w:rPr>
              <w:t>/Q</w:t>
            </w:r>
            <w:r w:rsidR="00B26241">
              <w:rPr>
                <w:color w:val="auto"/>
              </w:rPr>
              <w:t>4</w:t>
            </w:r>
            <w:r w:rsidR="00F32736" w:rsidRPr="001130F6">
              <w:rPr>
                <w:color w:val="auto"/>
              </w:rPr>
              <w:t xml:space="preserve"> ‘1</w:t>
            </w:r>
            <w:r w:rsidR="00651228">
              <w:rPr>
                <w:color w:val="auto"/>
              </w:rPr>
              <w:t>7</w:t>
            </w:r>
          </w:p>
        </w:tc>
      </w:tr>
      <w:tr w:rsidR="00B26241" w:rsidTr="0065122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090" w:type="dxa"/>
          </w:tcPr>
          <w:p w:rsidR="00B26241" w:rsidRPr="00E531F9" w:rsidRDefault="00B26241" w:rsidP="00B26241">
            <w:pPr>
              <w:rPr>
                <w:b w:val="0"/>
              </w:rPr>
            </w:pPr>
            <w:r w:rsidRPr="00E531F9">
              <w:t>Total Subscriptions (‘000)</w:t>
            </w:r>
          </w:p>
        </w:tc>
        <w:tc>
          <w:tcPr>
            <w:tcW w:w="1835" w:type="dxa"/>
          </w:tcPr>
          <w:p w:rsidR="00B26241" w:rsidRPr="0027176A"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27176A">
              <w:t>1,613.13</w:t>
            </w:r>
          </w:p>
        </w:tc>
        <w:tc>
          <w:tcPr>
            <w:tcW w:w="1696" w:type="dxa"/>
          </w:tcPr>
          <w:p w:rsidR="00B26241" w:rsidRPr="002E0C2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2E0C2E">
              <w:t xml:space="preserve"> 1,921.60 </w:t>
            </w:r>
          </w:p>
        </w:tc>
        <w:tc>
          <w:tcPr>
            <w:tcW w:w="1978" w:type="dxa"/>
          </w:tcPr>
          <w:p w:rsidR="00B26241" w:rsidRPr="00EF62A7" w:rsidRDefault="00B26241" w:rsidP="00B26241">
            <w:pPr>
              <w:jc w:val="right"/>
              <w:cnfStyle w:val="000000100000" w:firstRow="0" w:lastRow="0" w:firstColumn="0" w:lastColumn="0" w:oddVBand="0" w:evenVBand="0" w:oddHBand="1" w:evenHBand="0" w:firstRowFirstColumn="0" w:firstRowLastColumn="0" w:lastRowFirstColumn="0" w:lastRowLastColumn="0"/>
            </w:pPr>
            <w:r>
              <w:t>1,787.07</w:t>
            </w:r>
          </w:p>
        </w:tc>
        <w:tc>
          <w:tcPr>
            <w:tcW w:w="1741" w:type="dxa"/>
          </w:tcPr>
          <w:p w:rsidR="00B26241" w:rsidRPr="00EF62A7" w:rsidRDefault="00B26241" w:rsidP="00B26241">
            <w:pPr>
              <w:jc w:val="right"/>
              <w:cnfStyle w:val="000000100000" w:firstRow="0" w:lastRow="0" w:firstColumn="0" w:lastColumn="0" w:oddVBand="0" w:evenVBand="0" w:oddHBand="1" w:evenHBand="0" w:firstRowFirstColumn="0" w:firstRowLastColumn="0" w:lastRowFirstColumn="0" w:lastRowLastColumn="0"/>
            </w:pPr>
            <w:r>
              <w:t>-7.00</w:t>
            </w:r>
          </w:p>
        </w:tc>
        <w:tc>
          <w:tcPr>
            <w:tcW w:w="1847" w:type="dxa"/>
          </w:tcPr>
          <w:p w:rsidR="00B26241" w:rsidRPr="00EF62A7" w:rsidRDefault="00B26241" w:rsidP="00B26241">
            <w:pPr>
              <w:jc w:val="right"/>
              <w:cnfStyle w:val="000000100000" w:firstRow="0" w:lastRow="0" w:firstColumn="0" w:lastColumn="0" w:oddVBand="0" w:evenVBand="0" w:oddHBand="1" w:evenHBand="0" w:firstRowFirstColumn="0" w:firstRowLastColumn="0" w:lastRowFirstColumn="0" w:lastRowLastColumn="0"/>
            </w:pPr>
            <w:r>
              <w:t>10.78</w:t>
            </w:r>
          </w:p>
        </w:tc>
      </w:tr>
      <w:tr w:rsidR="00B26241" w:rsidTr="00651228">
        <w:trPr>
          <w:trHeight w:val="274"/>
        </w:trPr>
        <w:tc>
          <w:tcPr>
            <w:cnfStyle w:val="001000000000" w:firstRow="0" w:lastRow="0" w:firstColumn="1" w:lastColumn="0" w:oddVBand="0" w:evenVBand="0" w:oddHBand="0" w:evenHBand="0" w:firstRowFirstColumn="0" w:firstRowLastColumn="0" w:lastRowFirstColumn="0" w:lastRowLastColumn="0"/>
            <w:tcW w:w="4090" w:type="dxa"/>
          </w:tcPr>
          <w:p w:rsidR="00B26241" w:rsidRPr="00E531F9" w:rsidRDefault="00B26241" w:rsidP="00B26241">
            <w:pPr>
              <w:rPr>
                <w:b w:val="0"/>
              </w:rPr>
            </w:pPr>
            <w:r>
              <w:t xml:space="preserve">Fixed </w:t>
            </w:r>
            <w:r w:rsidRPr="00E531F9">
              <w:t>Broadband (≥256K)</w:t>
            </w:r>
          </w:p>
        </w:tc>
        <w:tc>
          <w:tcPr>
            <w:tcW w:w="1835" w:type="dxa"/>
          </w:tcPr>
          <w:p w:rsidR="00B26241" w:rsidRPr="0027176A"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27176A">
              <w:t>200.91</w:t>
            </w:r>
          </w:p>
        </w:tc>
        <w:tc>
          <w:tcPr>
            <w:tcW w:w="1696" w:type="dxa"/>
          </w:tcPr>
          <w:p w:rsidR="00B26241" w:rsidRPr="002E0C2E"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2E0C2E">
              <w:t xml:space="preserve"> 279.28 </w:t>
            </w:r>
          </w:p>
        </w:tc>
        <w:tc>
          <w:tcPr>
            <w:tcW w:w="1978" w:type="dxa"/>
          </w:tcPr>
          <w:p w:rsidR="00B26241" w:rsidRPr="00EF62A7" w:rsidRDefault="00B26241" w:rsidP="00B26241">
            <w:pPr>
              <w:jc w:val="right"/>
              <w:cnfStyle w:val="000000000000" w:firstRow="0" w:lastRow="0" w:firstColumn="0" w:lastColumn="0" w:oddVBand="0" w:evenVBand="0" w:oddHBand="0" w:evenHBand="0" w:firstRowFirstColumn="0" w:firstRowLastColumn="0" w:lastRowFirstColumn="0" w:lastRowLastColumn="0"/>
            </w:pPr>
            <w:r>
              <w:t>284.76</w:t>
            </w:r>
          </w:p>
        </w:tc>
        <w:tc>
          <w:tcPr>
            <w:tcW w:w="1741" w:type="dxa"/>
          </w:tcPr>
          <w:p w:rsidR="00B26241" w:rsidRPr="00EF62A7" w:rsidRDefault="00B26241" w:rsidP="00B26241">
            <w:pPr>
              <w:jc w:val="right"/>
              <w:cnfStyle w:val="000000000000" w:firstRow="0" w:lastRow="0" w:firstColumn="0" w:lastColumn="0" w:oddVBand="0" w:evenVBand="0" w:oddHBand="0" w:evenHBand="0" w:firstRowFirstColumn="0" w:firstRowLastColumn="0" w:lastRowFirstColumn="0" w:lastRowLastColumn="0"/>
            </w:pPr>
            <w:r>
              <w:t>1.96</w:t>
            </w:r>
          </w:p>
        </w:tc>
        <w:tc>
          <w:tcPr>
            <w:tcW w:w="1847" w:type="dxa"/>
          </w:tcPr>
          <w:p w:rsidR="00B26241" w:rsidRDefault="00B26241" w:rsidP="00B26241">
            <w:pPr>
              <w:jc w:val="right"/>
              <w:cnfStyle w:val="000000000000" w:firstRow="0" w:lastRow="0" w:firstColumn="0" w:lastColumn="0" w:oddVBand="0" w:evenVBand="0" w:oddHBand="0" w:evenHBand="0" w:firstRowFirstColumn="0" w:firstRowLastColumn="0" w:lastRowFirstColumn="0" w:lastRowLastColumn="0"/>
            </w:pPr>
            <w:r>
              <w:t>41.73</w:t>
            </w:r>
          </w:p>
        </w:tc>
      </w:tr>
      <w:tr w:rsidR="00B26241" w:rsidTr="00651228">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090" w:type="dxa"/>
          </w:tcPr>
          <w:p w:rsidR="00B26241" w:rsidRPr="00E531F9" w:rsidRDefault="00B26241" w:rsidP="00B26241">
            <w:pPr>
              <w:rPr>
                <w:b w:val="0"/>
              </w:rPr>
            </w:pPr>
            <w:r w:rsidRPr="00E531F9">
              <w:t>WAP &amp; Mobile Internet</w:t>
            </w:r>
          </w:p>
        </w:tc>
        <w:tc>
          <w:tcPr>
            <w:tcW w:w="1835" w:type="dxa"/>
          </w:tcPr>
          <w:p w:rsidR="00B26241" w:rsidRPr="0027176A"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27176A">
              <w:t>1,412.22</w:t>
            </w:r>
          </w:p>
        </w:tc>
        <w:tc>
          <w:tcPr>
            <w:tcW w:w="1696" w:type="dxa"/>
          </w:tcPr>
          <w:p w:rsidR="00B26241" w:rsidRPr="002E0C2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2E0C2E">
              <w:t xml:space="preserve"> 1,642.31 </w:t>
            </w:r>
          </w:p>
        </w:tc>
        <w:tc>
          <w:tcPr>
            <w:tcW w:w="1978" w:type="dxa"/>
          </w:tcPr>
          <w:p w:rsidR="00B26241" w:rsidRPr="00765F6A" w:rsidRDefault="00B26241" w:rsidP="00B26241">
            <w:pPr>
              <w:jc w:val="right"/>
              <w:cnfStyle w:val="000000100000" w:firstRow="0" w:lastRow="0" w:firstColumn="0" w:lastColumn="0" w:oddVBand="0" w:evenVBand="0" w:oddHBand="1" w:evenHBand="0" w:firstRowFirstColumn="0" w:firstRowLastColumn="0" w:lastRowFirstColumn="0" w:lastRowLastColumn="0"/>
            </w:pPr>
            <w:r>
              <w:t>1,502.31</w:t>
            </w:r>
          </w:p>
        </w:tc>
        <w:tc>
          <w:tcPr>
            <w:tcW w:w="1741" w:type="dxa"/>
          </w:tcPr>
          <w:p w:rsidR="00B26241" w:rsidRPr="00765F6A" w:rsidRDefault="00B26241" w:rsidP="00B26241">
            <w:pPr>
              <w:jc w:val="right"/>
              <w:cnfStyle w:val="000000100000" w:firstRow="0" w:lastRow="0" w:firstColumn="0" w:lastColumn="0" w:oddVBand="0" w:evenVBand="0" w:oddHBand="1" w:evenHBand="0" w:firstRowFirstColumn="0" w:firstRowLastColumn="0" w:lastRowFirstColumn="0" w:lastRowLastColumn="0"/>
            </w:pPr>
            <w:r>
              <w:t>-8.52</w:t>
            </w:r>
          </w:p>
        </w:tc>
        <w:tc>
          <w:tcPr>
            <w:tcW w:w="1847" w:type="dxa"/>
          </w:tcPr>
          <w:p w:rsidR="00B26241" w:rsidRDefault="00B26241" w:rsidP="00B26241">
            <w:pPr>
              <w:jc w:val="right"/>
              <w:cnfStyle w:val="000000100000" w:firstRow="0" w:lastRow="0" w:firstColumn="0" w:lastColumn="0" w:oddVBand="0" w:evenVBand="0" w:oddHBand="1" w:evenHBand="0" w:firstRowFirstColumn="0" w:firstRowLastColumn="0" w:lastRowFirstColumn="0" w:lastRowLastColumn="0"/>
            </w:pPr>
            <w:r>
              <w:t>6.38</w:t>
            </w:r>
          </w:p>
        </w:tc>
      </w:tr>
      <w:tr w:rsidR="00B26241" w:rsidTr="00651228">
        <w:trPr>
          <w:trHeight w:val="258"/>
        </w:trPr>
        <w:tc>
          <w:tcPr>
            <w:cnfStyle w:val="001000000000" w:firstRow="0" w:lastRow="0" w:firstColumn="1" w:lastColumn="0" w:oddVBand="0" w:evenVBand="0" w:oddHBand="0" w:evenHBand="0" w:firstRowFirstColumn="0" w:firstRowLastColumn="0" w:lastRowFirstColumn="0" w:lastRowLastColumn="0"/>
            <w:tcW w:w="4090" w:type="dxa"/>
          </w:tcPr>
          <w:p w:rsidR="00B26241" w:rsidRPr="00E531F9" w:rsidRDefault="00B26241" w:rsidP="00B26241">
            <w:pPr>
              <w:rPr>
                <w:b w:val="0"/>
              </w:rPr>
            </w:pPr>
            <w:r w:rsidRPr="00E531F9">
              <w:t>Total Revenue (J$’ million)</w:t>
            </w:r>
          </w:p>
        </w:tc>
        <w:tc>
          <w:tcPr>
            <w:tcW w:w="1835" w:type="dxa"/>
          </w:tcPr>
          <w:p w:rsidR="00B26241"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27176A">
              <w:t>5,986.83</w:t>
            </w:r>
          </w:p>
        </w:tc>
        <w:tc>
          <w:tcPr>
            <w:tcW w:w="1696" w:type="dxa"/>
          </w:tcPr>
          <w:p w:rsidR="00B26241"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2E0C2E">
              <w:t>6,725.66</w:t>
            </w:r>
          </w:p>
        </w:tc>
        <w:tc>
          <w:tcPr>
            <w:tcW w:w="1978" w:type="dxa"/>
          </w:tcPr>
          <w:p w:rsidR="00B26241" w:rsidRDefault="00B26241" w:rsidP="00B26241">
            <w:pPr>
              <w:jc w:val="right"/>
              <w:cnfStyle w:val="000000000000" w:firstRow="0" w:lastRow="0" w:firstColumn="0" w:lastColumn="0" w:oddVBand="0" w:evenVBand="0" w:oddHBand="0" w:evenHBand="0" w:firstRowFirstColumn="0" w:firstRowLastColumn="0" w:lastRowFirstColumn="0" w:lastRowLastColumn="0"/>
            </w:pPr>
            <w:r>
              <w:t>7,042.99</w:t>
            </w:r>
          </w:p>
        </w:tc>
        <w:tc>
          <w:tcPr>
            <w:tcW w:w="1741" w:type="dxa"/>
          </w:tcPr>
          <w:p w:rsidR="00B26241" w:rsidRPr="009171A6" w:rsidRDefault="00B26241" w:rsidP="00B26241">
            <w:pPr>
              <w:jc w:val="right"/>
              <w:cnfStyle w:val="000000000000" w:firstRow="0" w:lastRow="0" w:firstColumn="0" w:lastColumn="0" w:oddVBand="0" w:evenVBand="0" w:oddHBand="0" w:evenHBand="0" w:firstRowFirstColumn="0" w:firstRowLastColumn="0" w:lastRowFirstColumn="0" w:lastRowLastColumn="0"/>
            </w:pPr>
            <w:r>
              <w:t>4.72</w:t>
            </w:r>
          </w:p>
        </w:tc>
        <w:tc>
          <w:tcPr>
            <w:tcW w:w="1847" w:type="dxa"/>
          </w:tcPr>
          <w:p w:rsidR="00B26241" w:rsidRDefault="00B26241" w:rsidP="00B26241">
            <w:pPr>
              <w:jc w:val="right"/>
              <w:cnfStyle w:val="000000000000" w:firstRow="0" w:lastRow="0" w:firstColumn="0" w:lastColumn="0" w:oddVBand="0" w:evenVBand="0" w:oddHBand="0" w:evenHBand="0" w:firstRowFirstColumn="0" w:firstRowLastColumn="0" w:lastRowFirstColumn="0" w:lastRowLastColumn="0"/>
            </w:pPr>
            <w:r>
              <w:t>17.64</w:t>
            </w:r>
          </w:p>
        </w:tc>
      </w:tr>
    </w:tbl>
    <w:p w:rsidR="00F32736" w:rsidRDefault="00F32736" w:rsidP="007405F9"/>
    <w:tbl>
      <w:tblPr>
        <w:tblStyle w:val="GridTable4-Accent3"/>
        <w:tblpPr w:leftFromText="180" w:rightFromText="180" w:horzAnchor="margin" w:tblpY="-510"/>
        <w:tblW w:w="12895" w:type="dxa"/>
        <w:tblLook w:val="04A0" w:firstRow="1" w:lastRow="0" w:firstColumn="1" w:lastColumn="0" w:noHBand="0" w:noVBand="1"/>
      </w:tblPr>
      <w:tblGrid>
        <w:gridCol w:w="5935"/>
        <w:gridCol w:w="1556"/>
        <w:gridCol w:w="2577"/>
        <w:gridCol w:w="2827"/>
      </w:tblGrid>
      <w:tr w:rsidR="00651228" w:rsidTr="00140C0C">
        <w:trPr>
          <w:cnfStyle w:val="100000000000" w:firstRow="1" w:lastRow="0" w:firstColumn="0" w:lastColumn="0" w:oddVBand="0" w:evenVBand="0" w:oddHBand="0"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935" w:type="dxa"/>
          </w:tcPr>
          <w:p w:rsidR="00651228" w:rsidRPr="001130F6" w:rsidRDefault="00651228" w:rsidP="006E40AD">
            <w:pPr>
              <w:rPr>
                <w:color w:val="auto"/>
              </w:rPr>
            </w:pPr>
            <w:r>
              <w:rPr>
                <w:color w:val="auto"/>
              </w:rPr>
              <w:t>Penetration Rate</w:t>
            </w:r>
          </w:p>
        </w:tc>
        <w:tc>
          <w:tcPr>
            <w:tcW w:w="1556" w:type="dxa"/>
          </w:tcPr>
          <w:p w:rsidR="00651228" w:rsidRPr="001130F6" w:rsidRDefault="00651228" w:rsidP="00B26241">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B26241">
              <w:rPr>
                <w:color w:val="auto"/>
              </w:rPr>
              <w:t>4</w:t>
            </w:r>
            <w:r>
              <w:rPr>
                <w:color w:val="auto"/>
              </w:rPr>
              <w:t xml:space="preserve"> 2017</w:t>
            </w:r>
          </w:p>
        </w:tc>
        <w:tc>
          <w:tcPr>
            <w:tcW w:w="2577" w:type="dxa"/>
          </w:tcPr>
          <w:p w:rsidR="00651228" w:rsidRPr="001130F6" w:rsidRDefault="00651228" w:rsidP="00B26241">
            <w:pPr>
              <w:jc w:val="right"/>
              <w:cnfStyle w:val="100000000000" w:firstRow="1" w:lastRow="0" w:firstColumn="0" w:lastColumn="0" w:oddVBand="0" w:evenVBand="0" w:oddHBand="0" w:evenHBand="0" w:firstRowFirstColumn="0" w:firstRowLastColumn="0" w:lastRowFirstColumn="0" w:lastRowLastColumn="0"/>
              <w:rPr>
                <w:color w:val="auto"/>
              </w:rPr>
            </w:pPr>
            <w:r w:rsidRPr="001130F6">
              <w:rPr>
                <w:color w:val="auto"/>
              </w:rPr>
              <w:t>Q</w:t>
            </w:r>
            <w:r w:rsidR="00B26241">
              <w:rPr>
                <w:color w:val="auto"/>
              </w:rPr>
              <w:t>3</w:t>
            </w:r>
            <w:r w:rsidRPr="001130F6">
              <w:rPr>
                <w:color w:val="auto"/>
              </w:rPr>
              <w:t xml:space="preserve"> 201</w:t>
            </w:r>
            <w:r w:rsidR="009679A3">
              <w:rPr>
                <w:color w:val="auto"/>
              </w:rPr>
              <w:t>8</w:t>
            </w:r>
          </w:p>
        </w:tc>
        <w:tc>
          <w:tcPr>
            <w:tcW w:w="2827" w:type="dxa"/>
          </w:tcPr>
          <w:p w:rsidR="00651228" w:rsidRDefault="00651228" w:rsidP="00B26241">
            <w:pPr>
              <w:jc w:val="right"/>
              <w:cnfStyle w:val="100000000000" w:firstRow="1" w:lastRow="0" w:firstColumn="0" w:lastColumn="0" w:oddVBand="0" w:evenVBand="0" w:oddHBand="0" w:evenHBand="0" w:firstRowFirstColumn="0" w:firstRowLastColumn="0" w:lastRowFirstColumn="0" w:lastRowLastColumn="0"/>
            </w:pPr>
            <w:r w:rsidRPr="001130F6">
              <w:rPr>
                <w:color w:val="auto"/>
              </w:rPr>
              <w:t>Q</w:t>
            </w:r>
            <w:r w:rsidR="00B26241">
              <w:rPr>
                <w:color w:val="auto"/>
              </w:rPr>
              <w:t>4</w:t>
            </w:r>
            <w:r w:rsidRPr="001130F6">
              <w:rPr>
                <w:color w:val="auto"/>
              </w:rPr>
              <w:t xml:space="preserve"> 201</w:t>
            </w:r>
            <w:r>
              <w:rPr>
                <w:color w:val="auto"/>
              </w:rPr>
              <w:t>8</w:t>
            </w:r>
          </w:p>
        </w:tc>
      </w:tr>
      <w:tr w:rsidR="00B26241" w:rsidTr="00140C0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935" w:type="dxa"/>
          </w:tcPr>
          <w:p w:rsidR="00B26241" w:rsidRPr="00A23CAD" w:rsidRDefault="00B26241" w:rsidP="00B26241">
            <w:r w:rsidRPr="00567520">
              <w:t>Fixed Subscription Penetration Rate</w:t>
            </w:r>
          </w:p>
        </w:tc>
        <w:tc>
          <w:tcPr>
            <w:tcW w:w="1556"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10.9%</w:t>
            </w:r>
          </w:p>
        </w:tc>
        <w:tc>
          <w:tcPr>
            <w:tcW w:w="2577"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13.3%</w:t>
            </w:r>
          </w:p>
        </w:tc>
        <w:tc>
          <w:tcPr>
            <w:tcW w:w="2827"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13.3%</w:t>
            </w:r>
          </w:p>
        </w:tc>
      </w:tr>
      <w:tr w:rsidR="00B26241" w:rsidTr="00140C0C">
        <w:trPr>
          <w:trHeight w:val="398"/>
        </w:trPr>
        <w:tc>
          <w:tcPr>
            <w:cnfStyle w:val="001000000000" w:firstRow="0" w:lastRow="0" w:firstColumn="1" w:lastColumn="0" w:oddVBand="0" w:evenVBand="0" w:oddHBand="0" w:evenHBand="0" w:firstRowFirstColumn="0" w:firstRowLastColumn="0" w:lastRowFirstColumn="0" w:lastRowLastColumn="0"/>
            <w:tcW w:w="5935" w:type="dxa"/>
          </w:tcPr>
          <w:p w:rsidR="00B26241" w:rsidRPr="00A23CAD" w:rsidRDefault="00B26241" w:rsidP="00B26241">
            <w:r w:rsidRPr="00567520">
              <w:t>Mobile Subscription Penetration Rate</w:t>
            </w:r>
          </w:p>
        </w:tc>
        <w:tc>
          <w:tcPr>
            <w:tcW w:w="1556" w:type="dxa"/>
          </w:tcPr>
          <w:p w:rsidR="00B26241" w:rsidRPr="009F6684"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9F6684">
              <w:t>113.5%</w:t>
            </w:r>
          </w:p>
        </w:tc>
        <w:tc>
          <w:tcPr>
            <w:tcW w:w="2577" w:type="dxa"/>
          </w:tcPr>
          <w:p w:rsidR="00B26241" w:rsidRPr="009F6684"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9F6684">
              <w:t>116.7%</w:t>
            </w:r>
          </w:p>
        </w:tc>
        <w:tc>
          <w:tcPr>
            <w:tcW w:w="2827" w:type="dxa"/>
          </w:tcPr>
          <w:p w:rsidR="00B26241" w:rsidRPr="009F6684"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9F6684">
              <w:t>108.6%</w:t>
            </w:r>
          </w:p>
        </w:tc>
      </w:tr>
      <w:tr w:rsidR="00B26241" w:rsidTr="00140C0C">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935" w:type="dxa"/>
          </w:tcPr>
          <w:p w:rsidR="00B26241" w:rsidRPr="00A23CAD" w:rsidRDefault="00B26241" w:rsidP="00B26241">
            <w:r w:rsidRPr="00567520">
              <w:t>Fixed Broadband Subscription Penetration Rate</w:t>
            </w:r>
          </w:p>
        </w:tc>
        <w:tc>
          <w:tcPr>
            <w:tcW w:w="1556"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7.3%</w:t>
            </w:r>
          </w:p>
        </w:tc>
        <w:tc>
          <w:tcPr>
            <w:tcW w:w="2577"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10.2%</w:t>
            </w:r>
          </w:p>
        </w:tc>
        <w:tc>
          <w:tcPr>
            <w:tcW w:w="2827"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10.4%</w:t>
            </w:r>
          </w:p>
        </w:tc>
      </w:tr>
      <w:tr w:rsidR="00B26241" w:rsidTr="00140C0C">
        <w:trPr>
          <w:trHeight w:val="398"/>
        </w:trPr>
        <w:tc>
          <w:tcPr>
            <w:cnfStyle w:val="001000000000" w:firstRow="0" w:lastRow="0" w:firstColumn="1" w:lastColumn="0" w:oddVBand="0" w:evenVBand="0" w:oddHBand="0" w:evenHBand="0" w:firstRowFirstColumn="0" w:firstRowLastColumn="0" w:lastRowFirstColumn="0" w:lastRowLastColumn="0"/>
            <w:tcW w:w="5935" w:type="dxa"/>
          </w:tcPr>
          <w:p w:rsidR="00B26241" w:rsidRPr="00A23CAD" w:rsidRDefault="00B26241" w:rsidP="00B26241">
            <w:r w:rsidRPr="00567520">
              <w:t>Mobile Broadband Subscription Penetration Rate</w:t>
            </w:r>
          </w:p>
        </w:tc>
        <w:tc>
          <w:tcPr>
            <w:tcW w:w="1556" w:type="dxa"/>
          </w:tcPr>
          <w:p w:rsidR="00B26241" w:rsidRPr="009F6684"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9F6684">
              <w:t>51.8%</w:t>
            </w:r>
          </w:p>
        </w:tc>
        <w:tc>
          <w:tcPr>
            <w:tcW w:w="2577" w:type="dxa"/>
          </w:tcPr>
          <w:p w:rsidR="00B26241" w:rsidRPr="009F6684"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9F6684">
              <w:t>60.2%</w:t>
            </w:r>
          </w:p>
        </w:tc>
        <w:tc>
          <w:tcPr>
            <w:tcW w:w="2827" w:type="dxa"/>
          </w:tcPr>
          <w:p w:rsidR="00B26241" w:rsidRPr="009F6684"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9F6684">
              <w:t>55%</w:t>
            </w:r>
          </w:p>
        </w:tc>
      </w:tr>
      <w:tr w:rsidR="00B26241" w:rsidTr="00140C0C">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5935" w:type="dxa"/>
          </w:tcPr>
          <w:p w:rsidR="00B26241" w:rsidRPr="00A23CAD" w:rsidRDefault="00B26241" w:rsidP="00B26241">
            <w:r w:rsidRPr="00567520">
              <w:t>Total Broadband Subscription Penetration Rate</w:t>
            </w:r>
          </w:p>
        </w:tc>
        <w:tc>
          <w:tcPr>
            <w:tcW w:w="1556"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59.2%</w:t>
            </w:r>
          </w:p>
        </w:tc>
        <w:tc>
          <w:tcPr>
            <w:tcW w:w="2577" w:type="dxa"/>
          </w:tcPr>
          <w:p w:rsidR="00B26241" w:rsidRPr="009F6684"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70.4%</w:t>
            </w:r>
          </w:p>
        </w:tc>
        <w:tc>
          <w:tcPr>
            <w:tcW w:w="2827" w:type="dxa"/>
          </w:tcPr>
          <w:p w:rsidR="00B26241"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9F6684">
              <w:t>65.4%</w:t>
            </w:r>
          </w:p>
        </w:tc>
      </w:tr>
    </w:tbl>
    <w:p w:rsidR="00183673" w:rsidRDefault="00D140A8" w:rsidP="00D140A8">
      <w:r>
        <w:tab/>
      </w:r>
      <w:r>
        <w:tab/>
      </w:r>
    </w:p>
    <w:p w:rsidR="00D140A8" w:rsidRDefault="00D140A8" w:rsidP="00D140A8"/>
    <w:tbl>
      <w:tblPr>
        <w:tblStyle w:val="GridTable4-Accent3"/>
        <w:tblpPr w:leftFromText="180" w:rightFromText="180" w:vertAnchor="text" w:horzAnchor="margin" w:tblpY="-1"/>
        <w:tblW w:w="0" w:type="auto"/>
        <w:tblLook w:val="04A0" w:firstRow="1" w:lastRow="0" w:firstColumn="1" w:lastColumn="0" w:noHBand="0" w:noVBand="1"/>
      </w:tblPr>
      <w:tblGrid>
        <w:gridCol w:w="5382"/>
        <w:gridCol w:w="2126"/>
        <w:gridCol w:w="2552"/>
        <w:gridCol w:w="2890"/>
      </w:tblGrid>
      <w:tr w:rsidR="00402554" w:rsidTr="002858C7">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382" w:type="dxa"/>
          </w:tcPr>
          <w:p w:rsidR="00402554" w:rsidRPr="001130F6" w:rsidRDefault="00402554" w:rsidP="002858C7">
            <w:pPr>
              <w:rPr>
                <w:color w:val="auto"/>
              </w:rPr>
            </w:pPr>
            <w:r w:rsidRPr="009C62D6">
              <w:rPr>
                <w:color w:val="auto"/>
              </w:rPr>
              <w:t>Herfindahl-Hirschman Index</w:t>
            </w:r>
            <w:r>
              <w:rPr>
                <w:color w:val="auto"/>
              </w:rPr>
              <w:t xml:space="preserve"> (HHI)</w:t>
            </w:r>
          </w:p>
        </w:tc>
        <w:tc>
          <w:tcPr>
            <w:tcW w:w="2126" w:type="dxa"/>
          </w:tcPr>
          <w:p w:rsidR="00402554" w:rsidRPr="001130F6" w:rsidRDefault="00402554" w:rsidP="00B26241">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B26241">
              <w:rPr>
                <w:color w:val="auto"/>
              </w:rPr>
              <w:t>4</w:t>
            </w:r>
            <w:r w:rsidRPr="001130F6">
              <w:rPr>
                <w:color w:val="auto"/>
              </w:rPr>
              <w:t xml:space="preserve"> 201</w:t>
            </w:r>
            <w:r>
              <w:rPr>
                <w:color w:val="auto"/>
              </w:rPr>
              <w:t>7</w:t>
            </w:r>
          </w:p>
        </w:tc>
        <w:tc>
          <w:tcPr>
            <w:tcW w:w="2552" w:type="dxa"/>
          </w:tcPr>
          <w:p w:rsidR="00402554" w:rsidRPr="001130F6" w:rsidRDefault="00402554" w:rsidP="00B26241">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B26241">
              <w:rPr>
                <w:color w:val="auto"/>
              </w:rPr>
              <w:t>3</w:t>
            </w:r>
            <w:r>
              <w:rPr>
                <w:color w:val="auto"/>
              </w:rPr>
              <w:t xml:space="preserve"> 201</w:t>
            </w:r>
            <w:r w:rsidR="009679A3">
              <w:rPr>
                <w:color w:val="auto"/>
              </w:rPr>
              <w:t>8</w:t>
            </w:r>
          </w:p>
        </w:tc>
        <w:tc>
          <w:tcPr>
            <w:tcW w:w="2890" w:type="dxa"/>
          </w:tcPr>
          <w:p w:rsidR="00402554" w:rsidRPr="001130F6" w:rsidRDefault="00402554" w:rsidP="00B26241">
            <w:pPr>
              <w:jc w:val="right"/>
              <w:cnfStyle w:val="100000000000" w:firstRow="1" w:lastRow="0" w:firstColumn="0" w:lastColumn="0" w:oddVBand="0" w:evenVBand="0" w:oddHBand="0" w:evenHBand="0" w:firstRowFirstColumn="0" w:firstRowLastColumn="0" w:lastRowFirstColumn="0" w:lastRowLastColumn="0"/>
              <w:rPr>
                <w:color w:val="auto"/>
              </w:rPr>
            </w:pPr>
            <w:r>
              <w:rPr>
                <w:color w:val="auto"/>
              </w:rPr>
              <w:t>Q</w:t>
            </w:r>
            <w:r w:rsidR="00B26241">
              <w:rPr>
                <w:color w:val="auto"/>
              </w:rPr>
              <w:t>4</w:t>
            </w:r>
            <w:r w:rsidRPr="001130F6">
              <w:rPr>
                <w:color w:val="auto"/>
              </w:rPr>
              <w:t xml:space="preserve"> 201</w:t>
            </w:r>
            <w:r>
              <w:rPr>
                <w:color w:val="auto"/>
              </w:rPr>
              <w:t>8</w:t>
            </w:r>
          </w:p>
        </w:tc>
      </w:tr>
      <w:tr w:rsidR="00B26241" w:rsidTr="002858C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382" w:type="dxa"/>
          </w:tcPr>
          <w:p w:rsidR="00B26241" w:rsidRDefault="00B26241" w:rsidP="00B26241">
            <w:r>
              <w:t>Fixed HHI</w:t>
            </w:r>
          </w:p>
        </w:tc>
        <w:tc>
          <w:tcPr>
            <w:tcW w:w="2126" w:type="dxa"/>
          </w:tcPr>
          <w:p w:rsidR="00B26241" w:rsidRPr="005032B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5032BE">
              <w:t>6,262</w:t>
            </w:r>
          </w:p>
        </w:tc>
        <w:tc>
          <w:tcPr>
            <w:tcW w:w="2552" w:type="dxa"/>
          </w:tcPr>
          <w:p w:rsidR="00B26241" w:rsidRPr="005032B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5032BE">
              <w:t>4,832</w:t>
            </w:r>
          </w:p>
        </w:tc>
        <w:tc>
          <w:tcPr>
            <w:tcW w:w="2890" w:type="dxa"/>
          </w:tcPr>
          <w:p w:rsidR="00B26241" w:rsidRPr="005032B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5032BE">
              <w:t>4,774</w:t>
            </w:r>
          </w:p>
        </w:tc>
      </w:tr>
      <w:tr w:rsidR="00B26241" w:rsidTr="002858C7">
        <w:trPr>
          <w:trHeight w:val="466"/>
        </w:trPr>
        <w:tc>
          <w:tcPr>
            <w:cnfStyle w:val="001000000000" w:firstRow="0" w:lastRow="0" w:firstColumn="1" w:lastColumn="0" w:oddVBand="0" w:evenVBand="0" w:oddHBand="0" w:evenHBand="0" w:firstRowFirstColumn="0" w:firstRowLastColumn="0" w:lastRowFirstColumn="0" w:lastRowLastColumn="0"/>
            <w:tcW w:w="5382" w:type="dxa"/>
          </w:tcPr>
          <w:p w:rsidR="00B26241" w:rsidRDefault="00B26241" w:rsidP="00B26241">
            <w:r>
              <w:t>Mobile HHI</w:t>
            </w:r>
          </w:p>
        </w:tc>
        <w:tc>
          <w:tcPr>
            <w:tcW w:w="2126" w:type="dxa"/>
          </w:tcPr>
          <w:p w:rsidR="00B26241" w:rsidRPr="005032BE"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5032BE">
              <w:t>5,606</w:t>
            </w:r>
          </w:p>
        </w:tc>
        <w:tc>
          <w:tcPr>
            <w:tcW w:w="2552" w:type="dxa"/>
          </w:tcPr>
          <w:p w:rsidR="00B26241" w:rsidRPr="005032BE"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5032BE">
              <w:t>5,735</w:t>
            </w:r>
          </w:p>
        </w:tc>
        <w:tc>
          <w:tcPr>
            <w:tcW w:w="2890" w:type="dxa"/>
          </w:tcPr>
          <w:p w:rsidR="00B26241" w:rsidRPr="005032BE"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5032BE">
              <w:t>5,529</w:t>
            </w:r>
          </w:p>
        </w:tc>
      </w:tr>
      <w:tr w:rsidR="00B26241" w:rsidTr="002858C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382" w:type="dxa"/>
          </w:tcPr>
          <w:p w:rsidR="00B26241" w:rsidRDefault="00B26241" w:rsidP="00B26241">
            <w:r>
              <w:t>Fixed  Broadband HHI</w:t>
            </w:r>
          </w:p>
        </w:tc>
        <w:tc>
          <w:tcPr>
            <w:tcW w:w="2126" w:type="dxa"/>
          </w:tcPr>
          <w:p w:rsidR="00B26241" w:rsidRPr="005032B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5032BE">
              <w:t>5,021</w:t>
            </w:r>
          </w:p>
        </w:tc>
        <w:tc>
          <w:tcPr>
            <w:tcW w:w="2552" w:type="dxa"/>
          </w:tcPr>
          <w:p w:rsidR="00B26241" w:rsidRPr="005032B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5032BE">
              <w:t>3,626</w:t>
            </w:r>
          </w:p>
        </w:tc>
        <w:tc>
          <w:tcPr>
            <w:tcW w:w="2890" w:type="dxa"/>
          </w:tcPr>
          <w:p w:rsidR="00B26241" w:rsidRPr="005032BE" w:rsidRDefault="00B26241" w:rsidP="00B26241">
            <w:pPr>
              <w:jc w:val="right"/>
              <w:cnfStyle w:val="000000100000" w:firstRow="0" w:lastRow="0" w:firstColumn="0" w:lastColumn="0" w:oddVBand="0" w:evenVBand="0" w:oddHBand="1" w:evenHBand="0" w:firstRowFirstColumn="0" w:firstRowLastColumn="0" w:lastRowFirstColumn="0" w:lastRowLastColumn="0"/>
            </w:pPr>
            <w:r w:rsidRPr="005032BE">
              <w:t>3,614</w:t>
            </w:r>
          </w:p>
        </w:tc>
      </w:tr>
      <w:tr w:rsidR="00B26241" w:rsidTr="002858C7">
        <w:trPr>
          <w:trHeight w:val="466"/>
        </w:trPr>
        <w:tc>
          <w:tcPr>
            <w:cnfStyle w:val="001000000000" w:firstRow="0" w:lastRow="0" w:firstColumn="1" w:lastColumn="0" w:oddVBand="0" w:evenVBand="0" w:oddHBand="0" w:evenHBand="0" w:firstRowFirstColumn="0" w:firstRowLastColumn="0" w:lastRowFirstColumn="0" w:lastRowLastColumn="0"/>
            <w:tcW w:w="5382" w:type="dxa"/>
          </w:tcPr>
          <w:p w:rsidR="00B26241" w:rsidRDefault="00B26241" w:rsidP="00B26241">
            <w:r>
              <w:t>Mobile Broadband HHI</w:t>
            </w:r>
          </w:p>
        </w:tc>
        <w:tc>
          <w:tcPr>
            <w:tcW w:w="2126" w:type="dxa"/>
          </w:tcPr>
          <w:p w:rsidR="00B26241" w:rsidRPr="005032BE"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5032BE">
              <w:t>5,736</w:t>
            </w:r>
          </w:p>
        </w:tc>
        <w:tc>
          <w:tcPr>
            <w:tcW w:w="2552" w:type="dxa"/>
          </w:tcPr>
          <w:p w:rsidR="00B26241" w:rsidRPr="005032BE"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5032BE">
              <w:t>6,226</w:t>
            </w:r>
          </w:p>
        </w:tc>
        <w:tc>
          <w:tcPr>
            <w:tcW w:w="2890" w:type="dxa"/>
          </w:tcPr>
          <w:p w:rsidR="00B26241" w:rsidRDefault="00B26241" w:rsidP="00B26241">
            <w:pPr>
              <w:jc w:val="right"/>
              <w:cnfStyle w:val="000000000000" w:firstRow="0" w:lastRow="0" w:firstColumn="0" w:lastColumn="0" w:oddVBand="0" w:evenVBand="0" w:oddHBand="0" w:evenHBand="0" w:firstRowFirstColumn="0" w:firstRowLastColumn="0" w:lastRowFirstColumn="0" w:lastRowLastColumn="0"/>
            </w:pPr>
            <w:r w:rsidRPr="005032BE">
              <w:t>5,673</w:t>
            </w:r>
          </w:p>
        </w:tc>
      </w:tr>
    </w:tbl>
    <w:p w:rsidR="00D140A8" w:rsidRPr="006B61AD" w:rsidRDefault="00D140A8" w:rsidP="00D140A8"/>
    <w:p w:rsidR="00D140A8" w:rsidRPr="002858C7" w:rsidRDefault="002858C7" w:rsidP="00D140A8">
      <w:pPr>
        <w:rPr>
          <w:b/>
          <w:u w:val="single"/>
        </w:rPr>
      </w:pPr>
      <w:r w:rsidRPr="002858C7">
        <w:rPr>
          <w:b/>
          <w:u w:val="single"/>
        </w:rPr>
        <w:t>Active Subscription Definition</w:t>
      </w:r>
      <w:r w:rsidR="006E40AD">
        <w:rPr>
          <w:rStyle w:val="FootnoteReference"/>
          <w:b/>
          <w:u w:val="single"/>
        </w:rPr>
        <w:footnoteReference w:id="4"/>
      </w:r>
    </w:p>
    <w:p w:rsidR="002858C7" w:rsidRPr="002858C7" w:rsidRDefault="002858C7" w:rsidP="002858C7">
      <w:pPr>
        <w:spacing w:after="0" w:line="240" w:lineRule="auto"/>
        <w:rPr>
          <w:rFonts w:ascii="Calibri" w:eastAsia="Calibri" w:hAnsi="Calibri" w:cs="Calibri"/>
          <w:lang w:val="en-US" w:eastAsia="en-GB"/>
        </w:rPr>
      </w:pPr>
      <w:r w:rsidRPr="002858C7">
        <w:rPr>
          <w:rFonts w:ascii="Calibri" w:eastAsia="Calibri" w:hAnsi="Calibri" w:cs="Calibri"/>
          <w:lang w:val="en-US" w:eastAsia="en-GB"/>
        </w:rPr>
        <w:t xml:space="preserve">An “active subscription” is a postpaid or active prepaid subscription. An active prepaid subscription is one which has been used in the last ninety (90) days for an activity such as: </w:t>
      </w:r>
    </w:p>
    <w:p w:rsidR="002858C7" w:rsidRPr="002858C7" w:rsidRDefault="002858C7" w:rsidP="002858C7">
      <w:pPr>
        <w:spacing w:after="0" w:line="240" w:lineRule="auto"/>
        <w:rPr>
          <w:rFonts w:ascii="Calibri" w:eastAsia="Calibri" w:hAnsi="Calibri" w:cs="Calibri"/>
          <w:lang w:val="en-US" w:eastAsia="en-GB"/>
        </w:rPr>
      </w:pPr>
      <w:r w:rsidRPr="002858C7">
        <w:rPr>
          <w:rFonts w:ascii="Calibri" w:eastAsia="Calibri" w:hAnsi="Calibri" w:cs="Calibri"/>
          <w:lang w:val="en-US" w:eastAsia="en-GB"/>
        </w:rPr>
        <w:t> </w:t>
      </w:r>
    </w:p>
    <w:p w:rsidR="002858C7" w:rsidRPr="002858C7" w:rsidRDefault="002858C7" w:rsidP="002858C7">
      <w:pPr>
        <w:spacing w:after="0" w:line="240" w:lineRule="auto"/>
        <w:rPr>
          <w:rFonts w:ascii="Calibri" w:eastAsia="Calibri" w:hAnsi="Calibri" w:cs="Calibri"/>
          <w:lang w:val="en-US" w:eastAsia="en-GB"/>
        </w:rPr>
      </w:pPr>
      <w:r w:rsidRPr="002858C7">
        <w:rPr>
          <w:rFonts w:ascii="Calibri" w:eastAsia="Calibri" w:hAnsi="Calibri" w:cs="Calibri"/>
          <w:lang w:val="en-US" w:eastAsia="en-GB"/>
        </w:rPr>
        <w:t>•             Sending/Receiving Voice/Video Calls;</w:t>
      </w:r>
    </w:p>
    <w:p w:rsidR="002858C7" w:rsidRPr="002858C7" w:rsidRDefault="002858C7" w:rsidP="002858C7">
      <w:pPr>
        <w:spacing w:after="0" w:line="240" w:lineRule="auto"/>
        <w:rPr>
          <w:rFonts w:ascii="Calibri" w:eastAsia="Calibri" w:hAnsi="Calibri" w:cs="Calibri"/>
          <w:lang w:val="en-US" w:eastAsia="en-GB"/>
        </w:rPr>
      </w:pPr>
      <w:r w:rsidRPr="002858C7">
        <w:rPr>
          <w:rFonts w:ascii="Calibri" w:eastAsia="Calibri" w:hAnsi="Calibri" w:cs="Calibri"/>
          <w:lang w:val="en-US" w:eastAsia="en-GB"/>
        </w:rPr>
        <w:t>•             Sending/Receiving Short Messaging Service (SMS) or Multimedia Messaging Service (MMS);</w:t>
      </w:r>
    </w:p>
    <w:p w:rsidR="002858C7" w:rsidRPr="002858C7" w:rsidRDefault="002858C7" w:rsidP="002858C7">
      <w:pPr>
        <w:spacing w:after="0" w:line="240" w:lineRule="auto"/>
        <w:rPr>
          <w:rFonts w:ascii="Calibri" w:eastAsia="Calibri" w:hAnsi="Calibri" w:cs="Calibri"/>
          <w:lang w:val="en-US" w:eastAsia="en-GB"/>
        </w:rPr>
      </w:pPr>
      <w:r w:rsidRPr="002858C7">
        <w:rPr>
          <w:rFonts w:ascii="Calibri" w:eastAsia="Calibri" w:hAnsi="Calibri" w:cs="Calibri"/>
          <w:lang w:val="en-US" w:eastAsia="en-GB"/>
        </w:rPr>
        <w:t>•             Utilizing a Premium Rate Service;</w:t>
      </w:r>
    </w:p>
    <w:p w:rsidR="00D140A8" w:rsidRDefault="002858C7" w:rsidP="006E40AD">
      <w:pPr>
        <w:spacing w:after="0" w:line="240" w:lineRule="auto"/>
      </w:pPr>
      <w:r w:rsidRPr="002858C7">
        <w:rPr>
          <w:rFonts w:ascii="Calibri" w:eastAsia="Calibri" w:hAnsi="Calibri" w:cs="Calibri"/>
          <w:lang w:val="en-US" w:eastAsia="en-GB"/>
        </w:rPr>
        <w:t>•             Data transfer, including Internet access.</w:t>
      </w:r>
    </w:p>
    <w:sectPr w:rsidR="00D140A8" w:rsidSect="007405F9">
      <w:headerReference w:type="default" r:id="rId18"/>
      <w:footerReference w:type="default" r:id="rId19"/>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65" w:rsidRDefault="007F7265" w:rsidP="00067399">
      <w:pPr>
        <w:spacing w:after="0" w:line="240" w:lineRule="auto"/>
      </w:pPr>
      <w:r>
        <w:separator/>
      </w:r>
    </w:p>
  </w:endnote>
  <w:endnote w:type="continuationSeparator" w:id="0">
    <w:p w:rsidR="007F7265" w:rsidRDefault="007F7265" w:rsidP="0006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59550"/>
      <w:docPartObj>
        <w:docPartGallery w:val="Page Numbers (Bottom of Page)"/>
        <w:docPartUnique/>
      </w:docPartObj>
    </w:sdtPr>
    <w:sdtContent>
      <w:sdt>
        <w:sdtPr>
          <w:id w:val="-1769616900"/>
          <w:docPartObj>
            <w:docPartGallery w:val="Page Numbers (Top of Page)"/>
            <w:docPartUnique/>
          </w:docPartObj>
        </w:sdtPr>
        <w:sdtContent>
          <w:p w:rsidR="00E81B3B" w:rsidRDefault="00E81B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703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7031">
              <w:rPr>
                <w:b/>
                <w:bCs/>
                <w:noProof/>
              </w:rPr>
              <w:t>21</w:t>
            </w:r>
            <w:r>
              <w:rPr>
                <w:b/>
                <w:bCs/>
                <w:sz w:val="24"/>
                <w:szCs w:val="24"/>
              </w:rPr>
              <w:fldChar w:fldCharType="end"/>
            </w:r>
          </w:p>
        </w:sdtContent>
      </w:sdt>
    </w:sdtContent>
  </w:sdt>
  <w:p w:rsidR="00E81B3B" w:rsidRDefault="00E81B3B" w:rsidP="007405F9">
    <w:pPr>
      <w:pStyle w:val="Footer"/>
      <w:rPr>
        <w:sz w:val="20"/>
        <w:szCs w:val="20"/>
      </w:rPr>
    </w:pPr>
    <w:r>
      <w:rPr>
        <w:sz w:val="20"/>
        <w:szCs w:val="20"/>
      </w:rPr>
      <w:t>Telecommunications Market Information Report: October - December 2018</w:t>
    </w:r>
  </w:p>
  <w:p w:rsidR="00E81B3B" w:rsidRDefault="00E81B3B" w:rsidP="007405F9">
    <w:pPr>
      <w:pStyle w:val="Footer"/>
      <w:rPr>
        <w:sz w:val="20"/>
        <w:szCs w:val="20"/>
      </w:rPr>
    </w:pPr>
    <w:r w:rsidRPr="001A728C">
      <w:rPr>
        <w:sz w:val="20"/>
        <w:szCs w:val="20"/>
      </w:rPr>
      <w:t>Document Number 2019/TEL/001/QSR.001</w:t>
    </w:r>
  </w:p>
  <w:p w:rsidR="00E81B3B" w:rsidRDefault="00E81B3B" w:rsidP="007405F9">
    <w:pPr>
      <w:pStyle w:val="Footer"/>
      <w:rPr>
        <w:sz w:val="20"/>
        <w:szCs w:val="20"/>
      </w:rPr>
    </w:pPr>
    <w:r>
      <w:rPr>
        <w:sz w:val="20"/>
        <w:szCs w:val="20"/>
      </w:rPr>
      <w:t>Office of Utilities Regulation</w:t>
    </w:r>
  </w:p>
  <w:p w:rsidR="00E81B3B" w:rsidRDefault="00E81B3B" w:rsidP="00926F8B">
    <w:pPr>
      <w:pStyle w:val="Footer"/>
      <w:tabs>
        <w:tab w:val="clear" w:pos="9360"/>
        <w:tab w:val="left" w:pos="4680"/>
        <w:tab w:val="center" w:pos="6480"/>
        <w:tab w:val="left" w:pos="6900"/>
      </w:tabs>
      <w:rPr>
        <w:sz w:val="20"/>
        <w:szCs w:val="20"/>
      </w:rPr>
    </w:pPr>
    <w:r w:rsidRPr="001A728C">
      <w:rPr>
        <w:sz w:val="20"/>
        <w:szCs w:val="20"/>
      </w:rPr>
      <w:t>2019 May 06</w:t>
    </w:r>
    <w:r w:rsidRPr="009122C7">
      <w:rPr>
        <w:sz w:val="20"/>
        <w:szCs w:val="20"/>
      </w:rPr>
      <w:tab/>
    </w:r>
    <w:r>
      <w:rPr>
        <w:sz w:val="20"/>
        <w:szCs w:val="20"/>
      </w:rPr>
      <w:tab/>
    </w:r>
    <w:r>
      <w:rPr>
        <w:sz w:val="20"/>
        <w:szCs w:val="20"/>
      </w:rPr>
      <w:tab/>
    </w:r>
  </w:p>
  <w:p w:rsidR="00E81B3B" w:rsidRDefault="00E81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65" w:rsidRDefault="007F7265" w:rsidP="00067399">
      <w:pPr>
        <w:spacing w:after="0" w:line="240" w:lineRule="auto"/>
      </w:pPr>
      <w:r>
        <w:separator/>
      </w:r>
    </w:p>
  </w:footnote>
  <w:footnote w:type="continuationSeparator" w:id="0">
    <w:p w:rsidR="007F7265" w:rsidRDefault="007F7265" w:rsidP="00067399">
      <w:pPr>
        <w:spacing w:after="0" w:line="240" w:lineRule="auto"/>
      </w:pPr>
      <w:r>
        <w:continuationSeparator/>
      </w:r>
    </w:p>
  </w:footnote>
  <w:footnote w:id="1">
    <w:p w:rsidR="00E81B3B" w:rsidRPr="00765D09" w:rsidRDefault="00E81B3B">
      <w:pPr>
        <w:pStyle w:val="FootnoteText"/>
        <w:rPr>
          <w:lang w:val="en-US"/>
        </w:rPr>
      </w:pPr>
      <w:r>
        <w:rPr>
          <w:rStyle w:val="FootnoteReference"/>
        </w:rPr>
        <w:footnoteRef/>
      </w:r>
      <w:r>
        <w:t xml:space="preserve"> </w:t>
      </w:r>
      <w:r>
        <w:rPr>
          <w:lang w:val="en-US"/>
        </w:rPr>
        <w:t>Fixed data trends may have also been impacted by the fact that the OUR is now receiving fixed services data from an additional licensee.</w:t>
      </w:r>
    </w:p>
  </w:footnote>
  <w:footnote w:id="2">
    <w:p w:rsidR="00E81B3B" w:rsidRDefault="00E81B3B" w:rsidP="007053E6">
      <w:pPr>
        <w:pStyle w:val="FootnoteText"/>
      </w:pPr>
      <w:r>
        <w:rPr>
          <w:rStyle w:val="FootnoteReference"/>
        </w:rPr>
        <w:footnoteRef/>
      </w:r>
      <w:r>
        <w:t xml:space="preserve"> Calculated using population year end 2017 data from the Statistical Institute of Jamaica: 2,728,864. </w:t>
      </w:r>
    </w:p>
    <w:p w:rsidR="00E81B3B" w:rsidRDefault="00E81B3B" w:rsidP="007053E6">
      <w:pPr>
        <w:pStyle w:val="FootnoteText"/>
      </w:pPr>
      <w:r>
        <w:t xml:space="preserve"> </w:t>
      </w:r>
    </w:p>
  </w:footnote>
  <w:footnote w:id="3">
    <w:p w:rsidR="00E81B3B" w:rsidRDefault="00E81B3B">
      <w:pPr>
        <w:pStyle w:val="FootnoteText"/>
      </w:pPr>
      <w:r>
        <w:rPr>
          <w:rStyle w:val="FootnoteReference"/>
        </w:rPr>
        <w:footnoteRef/>
      </w:r>
      <w:r>
        <w:t xml:space="preserve"> Calculated using subscription data.</w:t>
      </w:r>
    </w:p>
  </w:footnote>
  <w:footnote w:id="4">
    <w:p w:rsidR="00E81B3B" w:rsidRPr="006E40AD" w:rsidRDefault="00E81B3B">
      <w:pPr>
        <w:pStyle w:val="FootnoteText"/>
        <w:rPr>
          <w:lang w:val="en-US"/>
        </w:rPr>
      </w:pPr>
      <w:r>
        <w:rPr>
          <w:rStyle w:val="FootnoteReference"/>
        </w:rPr>
        <w:footnoteRef/>
      </w:r>
      <w:r>
        <w:t xml:space="preserve"> </w:t>
      </w:r>
      <w:r>
        <w:rPr>
          <w:lang w:val="en-US"/>
        </w:rPr>
        <w:t xml:space="preserve">Adapted from the International Telecommunication Union’s </w:t>
      </w:r>
      <w:r w:rsidRPr="00F3682B">
        <w:rPr>
          <w:i/>
          <w:lang w:val="en-US"/>
        </w:rPr>
        <w:t>Handbook for the Collection of Administrative Data on Telecommunications/ICT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B3B" w:rsidRDefault="00E81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6E60"/>
    <w:multiLevelType w:val="hybridMultilevel"/>
    <w:tmpl w:val="8BFCE89C"/>
    <w:lvl w:ilvl="0" w:tplc="AC642480">
      <w:start w:val="25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B0C78"/>
    <w:multiLevelType w:val="hybridMultilevel"/>
    <w:tmpl w:val="92925ADA"/>
    <w:lvl w:ilvl="0" w:tplc="9A42597E">
      <w:start w:val="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14E9F"/>
    <w:multiLevelType w:val="hybridMultilevel"/>
    <w:tmpl w:val="987EBFCA"/>
    <w:lvl w:ilvl="0" w:tplc="4C804B3C">
      <w:start w:val="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4254"/>
    <w:multiLevelType w:val="hybridMultilevel"/>
    <w:tmpl w:val="A7E2FB94"/>
    <w:lvl w:ilvl="0" w:tplc="3AF2D41A">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270B"/>
    <w:multiLevelType w:val="hybridMultilevel"/>
    <w:tmpl w:val="94DC515C"/>
    <w:lvl w:ilvl="0" w:tplc="0E60FAA8">
      <w:start w:val="2"/>
      <w:numFmt w:val="bullet"/>
      <w:lvlText w:val="-"/>
      <w:lvlJc w:val="left"/>
      <w:pPr>
        <w:ind w:left="1104" w:hanging="360"/>
      </w:pPr>
      <w:rPr>
        <w:rFonts w:ascii="Calibri" w:eastAsiaTheme="minorHAnsi" w:hAnsi="Calibri" w:cs="Calibri"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 w15:restartNumberingAfterBreak="0">
    <w:nsid w:val="29282813"/>
    <w:multiLevelType w:val="hybridMultilevel"/>
    <w:tmpl w:val="6F7EB362"/>
    <w:lvl w:ilvl="0" w:tplc="C4244806">
      <w:start w:val="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E506D"/>
    <w:multiLevelType w:val="hybridMultilevel"/>
    <w:tmpl w:val="6C8CD4B6"/>
    <w:lvl w:ilvl="0" w:tplc="8CA03D92">
      <w:start w:val="8"/>
      <w:numFmt w:val="bullet"/>
      <w:lvlText w:val="-"/>
      <w:lvlJc w:val="left"/>
      <w:pPr>
        <w:ind w:left="1356" w:hanging="360"/>
      </w:pPr>
      <w:rPr>
        <w:rFonts w:ascii="Calibri" w:eastAsiaTheme="minorHAnsi" w:hAnsi="Calibri" w:cs="Calibri"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7" w15:restartNumberingAfterBreak="0">
    <w:nsid w:val="4CAD4A24"/>
    <w:multiLevelType w:val="hybridMultilevel"/>
    <w:tmpl w:val="BAEC8FE0"/>
    <w:lvl w:ilvl="0" w:tplc="8B4A20B2">
      <w:start w:val="8"/>
      <w:numFmt w:val="bullet"/>
      <w:lvlText w:val="-"/>
      <w:lvlJc w:val="left"/>
      <w:pPr>
        <w:ind w:left="1308" w:hanging="360"/>
      </w:pPr>
      <w:rPr>
        <w:rFonts w:ascii="Calibri" w:eastAsiaTheme="minorHAnsi" w:hAnsi="Calibri" w:cs="Calibri"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8" w15:restartNumberingAfterBreak="0">
    <w:nsid w:val="594C7CC3"/>
    <w:multiLevelType w:val="hybridMultilevel"/>
    <w:tmpl w:val="7B62DB6A"/>
    <w:lvl w:ilvl="0" w:tplc="C87A74E8">
      <w:start w:val="18"/>
      <w:numFmt w:val="bullet"/>
      <w:lvlText w:val="-"/>
      <w:lvlJc w:val="left"/>
      <w:pPr>
        <w:ind w:left="1308" w:hanging="360"/>
      </w:pPr>
      <w:rPr>
        <w:rFonts w:ascii="Calibri" w:eastAsiaTheme="minorHAnsi" w:hAnsi="Calibri" w:cs="Calibri"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5C6C7456"/>
    <w:multiLevelType w:val="hybridMultilevel"/>
    <w:tmpl w:val="5FBC1950"/>
    <w:lvl w:ilvl="0" w:tplc="3CB8B6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201D39"/>
    <w:multiLevelType w:val="hybridMultilevel"/>
    <w:tmpl w:val="7D7A1C8A"/>
    <w:lvl w:ilvl="0" w:tplc="7AD60156">
      <w:start w:val="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543E6"/>
    <w:multiLevelType w:val="hybridMultilevel"/>
    <w:tmpl w:val="D81089B0"/>
    <w:lvl w:ilvl="0" w:tplc="7340E5A0">
      <w:start w:val="25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8524A1"/>
    <w:multiLevelType w:val="hybridMultilevel"/>
    <w:tmpl w:val="783CF956"/>
    <w:lvl w:ilvl="0" w:tplc="F27E5A88">
      <w:start w:val="8"/>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2"/>
  </w:num>
  <w:num w:numId="2">
    <w:abstractNumId w:val="0"/>
  </w:num>
  <w:num w:numId="3">
    <w:abstractNumId w:val="11"/>
  </w:num>
  <w:num w:numId="4">
    <w:abstractNumId w:val="5"/>
  </w:num>
  <w:num w:numId="5">
    <w:abstractNumId w:val="1"/>
  </w:num>
  <w:num w:numId="6">
    <w:abstractNumId w:val="10"/>
  </w:num>
  <w:num w:numId="7">
    <w:abstractNumId w:val="3"/>
  </w:num>
  <w:num w:numId="8">
    <w:abstractNumId w:val="8"/>
  </w:num>
  <w:num w:numId="9">
    <w:abstractNumId w:val="4"/>
  </w:num>
  <w:num w:numId="10">
    <w:abstractNumId w:val="6"/>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98"/>
    <w:rsid w:val="00007949"/>
    <w:rsid w:val="00024256"/>
    <w:rsid w:val="000324A5"/>
    <w:rsid w:val="000457A5"/>
    <w:rsid w:val="00047E64"/>
    <w:rsid w:val="00052B11"/>
    <w:rsid w:val="000545F8"/>
    <w:rsid w:val="00054C82"/>
    <w:rsid w:val="0005724C"/>
    <w:rsid w:val="00057E41"/>
    <w:rsid w:val="00067399"/>
    <w:rsid w:val="00070170"/>
    <w:rsid w:val="00074673"/>
    <w:rsid w:val="0007694C"/>
    <w:rsid w:val="00080EED"/>
    <w:rsid w:val="00083894"/>
    <w:rsid w:val="00090531"/>
    <w:rsid w:val="000906B1"/>
    <w:rsid w:val="00091515"/>
    <w:rsid w:val="00097A06"/>
    <w:rsid w:val="000A5588"/>
    <w:rsid w:val="000A79FD"/>
    <w:rsid w:val="000B0D03"/>
    <w:rsid w:val="000B38C6"/>
    <w:rsid w:val="000B3C82"/>
    <w:rsid w:val="000C6D27"/>
    <w:rsid w:val="000C6E01"/>
    <w:rsid w:val="000C7ACB"/>
    <w:rsid w:val="000D5BB4"/>
    <w:rsid w:val="000E38D8"/>
    <w:rsid w:val="000E5AF3"/>
    <w:rsid w:val="000F6669"/>
    <w:rsid w:val="0010289A"/>
    <w:rsid w:val="00107337"/>
    <w:rsid w:val="00111C1C"/>
    <w:rsid w:val="001130F6"/>
    <w:rsid w:val="00140C0C"/>
    <w:rsid w:val="001476A0"/>
    <w:rsid w:val="00164FA9"/>
    <w:rsid w:val="00165012"/>
    <w:rsid w:val="0016509B"/>
    <w:rsid w:val="00172D9D"/>
    <w:rsid w:val="0017529B"/>
    <w:rsid w:val="001763F7"/>
    <w:rsid w:val="00180AC1"/>
    <w:rsid w:val="00181558"/>
    <w:rsid w:val="00182DF6"/>
    <w:rsid w:val="00183673"/>
    <w:rsid w:val="001861BF"/>
    <w:rsid w:val="00191CD1"/>
    <w:rsid w:val="00196536"/>
    <w:rsid w:val="001A52ED"/>
    <w:rsid w:val="001A728C"/>
    <w:rsid w:val="001B6736"/>
    <w:rsid w:val="001C1884"/>
    <w:rsid w:val="001C5013"/>
    <w:rsid w:val="001C7FA0"/>
    <w:rsid w:val="001E02EB"/>
    <w:rsid w:val="001E1389"/>
    <w:rsid w:val="001F4DC3"/>
    <w:rsid w:val="002037D7"/>
    <w:rsid w:val="00212D14"/>
    <w:rsid w:val="002217BB"/>
    <w:rsid w:val="00226128"/>
    <w:rsid w:val="00227B23"/>
    <w:rsid w:val="00234C65"/>
    <w:rsid w:val="002465D7"/>
    <w:rsid w:val="002501AF"/>
    <w:rsid w:val="0025439F"/>
    <w:rsid w:val="00266E1E"/>
    <w:rsid w:val="00276BFB"/>
    <w:rsid w:val="002779C9"/>
    <w:rsid w:val="002858C7"/>
    <w:rsid w:val="00287862"/>
    <w:rsid w:val="0029054C"/>
    <w:rsid w:val="00291F35"/>
    <w:rsid w:val="0029460D"/>
    <w:rsid w:val="002A3BB8"/>
    <w:rsid w:val="002A5C74"/>
    <w:rsid w:val="002B5F2B"/>
    <w:rsid w:val="002C124F"/>
    <w:rsid w:val="002C1C32"/>
    <w:rsid w:val="002C2B20"/>
    <w:rsid w:val="002E4B46"/>
    <w:rsid w:val="002F3949"/>
    <w:rsid w:val="002F6DAB"/>
    <w:rsid w:val="00306D40"/>
    <w:rsid w:val="00325E58"/>
    <w:rsid w:val="00326B01"/>
    <w:rsid w:val="00332671"/>
    <w:rsid w:val="00340FB0"/>
    <w:rsid w:val="00342836"/>
    <w:rsid w:val="00344835"/>
    <w:rsid w:val="00345BDB"/>
    <w:rsid w:val="003467E9"/>
    <w:rsid w:val="00347A54"/>
    <w:rsid w:val="003678EC"/>
    <w:rsid w:val="00373E33"/>
    <w:rsid w:val="00374C7A"/>
    <w:rsid w:val="003759EE"/>
    <w:rsid w:val="0037738D"/>
    <w:rsid w:val="00385938"/>
    <w:rsid w:val="00397C6D"/>
    <w:rsid w:val="003A40AA"/>
    <w:rsid w:val="003A6680"/>
    <w:rsid w:val="003A7553"/>
    <w:rsid w:val="003B2C4C"/>
    <w:rsid w:val="003B317E"/>
    <w:rsid w:val="003B428E"/>
    <w:rsid w:val="003D3021"/>
    <w:rsid w:val="003D5856"/>
    <w:rsid w:val="003D5E32"/>
    <w:rsid w:val="003E5F02"/>
    <w:rsid w:val="003F1F50"/>
    <w:rsid w:val="003F763B"/>
    <w:rsid w:val="00401529"/>
    <w:rsid w:val="00401A77"/>
    <w:rsid w:val="00402554"/>
    <w:rsid w:val="0040536F"/>
    <w:rsid w:val="0041126B"/>
    <w:rsid w:val="0041535B"/>
    <w:rsid w:val="0041576D"/>
    <w:rsid w:val="00436BCB"/>
    <w:rsid w:val="00447D08"/>
    <w:rsid w:val="0046301E"/>
    <w:rsid w:val="0046522D"/>
    <w:rsid w:val="004735BC"/>
    <w:rsid w:val="00476FDA"/>
    <w:rsid w:val="004829CD"/>
    <w:rsid w:val="00484BE7"/>
    <w:rsid w:val="00486192"/>
    <w:rsid w:val="00491BD4"/>
    <w:rsid w:val="00491E1C"/>
    <w:rsid w:val="00496067"/>
    <w:rsid w:val="004A41E0"/>
    <w:rsid w:val="004A532A"/>
    <w:rsid w:val="004B481D"/>
    <w:rsid w:val="004B5ADF"/>
    <w:rsid w:val="004C3FDF"/>
    <w:rsid w:val="004C50E6"/>
    <w:rsid w:val="004C6DF2"/>
    <w:rsid w:val="004D242A"/>
    <w:rsid w:val="004E126A"/>
    <w:rsid w:val="004F0DC6"/>
    <w:rsid w:val="004F3827"/>
    <w:rsid w:val="00516AE7"/>
    <w:rsid w:val="00527A2F"/>
    <w:rsid w:val="005370C6"/>
    <w:rsid w:val="00544B8D"/>
    <w:rsid w:val="00556A7B"/>
    <w:rsid w:val="00564407"/>
    <w:rsid w:val="0056501D"/>
    <w:rsid w:val="00567419"/>
    <w:rsid w:val="00567520"/>
    <w:rsid w:val="00575201"/>
    <w:rsid w:val="005756DA"/>
    <w:rsid w:val="00577895"/>
    <w:rsid w:val="00582173"/>
    <w:rsid w:val="00584B59"/>
    <w:rsid w:val="00591C5F"/>
    <w:rsid w:val="00594F2C"/>
    <w:rsid w:val="005A2A2D"/>
    <w:rsid w:val="005A35FD"/>
    <w:rsid w:val="005C13C7"/>
    <w:rsid w:val="005C156F"/>
    <w:rsid w:val="005D0587"/>
    <w:rsid w:val="005D2304"/>
    <w:rsid w:val="005D6B79"/>
    <w:rsid w:val="005D739D"/>
    <w:rsid w:val="005E4BFA"/>
    <w:rsid w:val="005E796A"/>
    <w:rsid w:val="00611981"/>
    <w:rsid w:val="006138F0"/>
    <w:rsid w:val="00616041"/>
    <w:rsid w:val="0062737D"/>
    <w:rsid w:val="00627C61"/>
    <w:rsid w:val="00630CF3"/>
    <w:rsid w:val="0063343B"/>
    <w:rsid w:val="00645968"/>
    <w:rsid w:val="00651228"/>
    <w:rsid w:val="00651FB0"/>
    <w:rsid w:val="0065569E"/>
    <w:rsid w:val="00655704"/>
    <w:rsid w:val="006700BD"/>
    <w:rsid w:val="00671FDA"/>
    <w:rsid w:val="00672983"/>
    <w:rsid w:val="00674051"/>
    <w:rsid w:val="00677ADA"/>
    <w:rsid w:val="00681DDA"/>
    <w:rsid w:val="006868B8"/>
    <w:rsid w:val="00695C58"/>
    <w:rsid w:val="00697787"/>
    <w:rsid w:val="00697B9E"/>
    <w:rsid w:val="006A1097"/>
    <w:rsid w:val="006A1E9E"/>
    <w:rsid w:val="006A5892"/>
    <w:rsid w:val="006A79F1"/>
    <w:rsid w:val="006B0712"/>
    <w:rsid w:val="006B61AD"/>
    <w:rsid w:val="006B78A8"/>
    <w:rsid w:val="006D01B4"/>
    <w:rsid w:val="006D7031"/>
    <w:rsid w:val="006E40AD"/>
    <w:rsid w:val="006E62C8"/>
    <w:rsid w:val="006E6439"/>
    <w:rsid w:val="006F165A"/>
    <w:rsid w:val="006F3ACB"/>
    <w:rsid w:val="007053E6"/>
    <w:rsid w:val="00711EF3"/>
    <w:rsid w:val="00715954"/>
    <w:rsid w:val="007159F9"/>
    <w:rsid w:val="00717253"/>
    <w:rsid w:val="00723638"/>
    <w:rsid w:val="00723D0D"/>
    <w:rsid w:val="0072462D"/>
    <w:rsid w:val="00725312"/>
    <w:rsid w:val="007308D6"/>
    <w:rsid w:val="0073284B"/>
    <w:rsid w:val="00736950"/>
    <w:rsid w:val="007405F9"/>
    <w:rsid w:val="007523BD"/>
    <w:rsid w:val="00753BDB"/>
    <w:rsid w:val="00754197"/>
    <w:rsid w:val="007553A0"/>
    <w:rsid w:val="007579B7"/>
    <w:rsid w:val="00757A7F"/>
    <w:rsid w:val="00760B82"/>
    <w:rsid w:val="00765D09"/>
    <w:rsid w:val="0078028F"/>
    <w:rsid w:val="00785152"/>
    <w:rsid w:val="00790792"/>
    <w:rsid w:val="00792875"/>
    <w:rsid w:val="007A11E2"/>
    <w:rsid w:val="007B03B5"/>
    <w:rsid w:val="007C6620"/>
    <w:rsid w:val="007C6907"/>
    <w:rsid w:val="007D70AB"/>
    <w:rsid w:val="007D7B57"/>
    <w:rsid w:val="007E0A38"/>
    <w:rsid w:val="007E3AE7"/>
    <w:rsid w:val="007F7265"/>
    <w:rsid w:val="0081331E"/>
    <w:rsid w:val="00816D08"/>
    <w:rsid w:val="00820F89"/>
    <w:rsid w:val="00826566"/>
    <w:rsid w:val="00830EFC"/>
    <w:rsid w:val="00840E01"/>
    <w:rsid w:val="00843631"/>
    <w:rsid w:val="008445F8"/>
    <w:rsid w:val="00856DB0"/>
    <w:rsid w:val="008723C8"/>
    <w:rsid w:val="00876A61"/>
    <w:rsid w:val="00876B18"/>
    <w:rsid w:val="00886C17"/>
    <w:rsid w:val="008879A4"/>
    <w:rsid w:val="008A4E68"/>
    <w:rsid w:val="008B7A94"/>
    <w:rsid w:val="008C26A1"/>
    <w:rsid w:val="008D42C3"/>
    <w:rsid w:val="008E611F"/>
    <w:rsid w:val="008E7182"/>
    <w:rsid w:val="008F46EF"/>
    <w:rsid w:val="00900173"/>
    <w:rsid w:val="009051C6"/>
    <w:rsid w:val="00907B95"/>
    <w:rsid w:val="00910DE2"/>
    <w:rsid w:val="009122C7"/>
    <w:rsid w:val="00913938"/>
    <w:rsid w:val="00913B25"/>
    <w:rsid w:val="0091541F"/>
    <w:rsid w:val="00916E9E"/>
    <w:rsid w:val="00917F5C"/>
    <w:rsid w:val="009200D4"/>
    <w:rsid w:val="00926F8B"/>
    <w:rsid w:val="00946D2A"/>
    <w:rsid w:val="00960BB3"/>
    <w:rsid w:val="009618E9"/>
    <w:rsid w:val="009643F5"/>
    <w:rsid w:val="009664C2"/>
    <w:rsid w:val="009671D9"/>
    <w:rsid w:val="009679A3"/>
    <w:rsid w:val="00971808"/>
    <w:rsid w:val="009809BD"/>
    <w:rsid w:val="0099326C"/>
    <w:rsid w:val="0099607C"/>
    <w:rsid w:val="00996786"/>
    <w:rsid w:val="009B4035"/>
    <w:rsid w:val="009B4A06"/>
    <w:rsid w:val="009B59BD"/>
    <w:rsid w:val="009C62D6"/>
    <w:rsid w:val="009E042A"/>
    <w:rsid w:val="009E3DD1"/>
    <w:rsid w:val="009F07E7"/>
    <w:rsid w:val="009F477B"/>
    <w:rsid w:val="00A04B14"/>
    <w:rsid w:val="00A23CAD"/>
    <w:rsid w:val="00A2689F"/>
    <w:rsid w:val="00A30FF4"/>
    <w:rsid w:val="00A36AF9"/>
    <w:rsid w:val="00A427FC"/>
    <w:rsid w:val="00A52117"/>
    <w:rsid w:val="00A54F19"/>
    <w:rsid w:val="00A62465"/>
    <w:rsid w:val="00A629E8"/>
    <w:rsid w:val="00A6745C"/>
    <w:rsid w:val="00A7041D"/>
    <w:rsid w:val="00A71543"/>
    <w:rsid w:val="00A720DA"/>
    <w:rsid w:val="00A806ED"/>
    <w:rsid w:val="00AA68CE"/>
    <w:rsid w:val="00AB4CF4"/>
    <w:rsid w:val="00AE2A05"/>
    <w:rsid w:val="00AE30BF"/>
    <w:rsid w:val="00AE4DFB"/>
    <w:rsid w:val="00B01057"/>
    <w:rsid w:val="00B07C39"/>
    <w:rsid w:val="00B12EEA"/>
    <w:rsid w:val="00B17DCC"/>
    <w:rsid w:val="00B26241"/>
    <w:rsid w:val="00B27813"/>
    <w:rsid w:val="00B4719B"/>
    <w:rsid w:val="00B47D04"/>
    <w:rsid w:val="00B67096"/>
    <w:rsid w:val="00B804C5"/>
    <w:rsid w:val="00B83444"/>
    <w:rsid w:val="00B90AC9"/>
    <w:rsid w:val="00B94788"/>
    <w:rsid w:val="00B96E19"/>
    <w:rsid w:val="00B97275"/>
    <w:rsid w:val="00BA1A7D"/>
    <w:rsid w:val="00BA26BA"/>
    <w:rsid w:val="00BA29A0"/>
    <w:rsid w:val="00BA32D5"/>
    <w:rsid w:val="00BA39A2"/>
    <w:rsid w:val="00BA6CA2"/>
    <w:rsid w:val="00BB7B00"/>
    <w:rsid w:val="00BD41D9"/>
    <w:rsid w:val="00BF2ABB"/>
    <w:rsid w:val="00C02B7A"/>
    <w:rsid w:val="00C040E1"/>
    <w:rsid w:val="00C13501"/>
    <w:rsid w:val="00C1679A"/>
    <w:rsid w:val="00C22980"/>
    <w:rsid w:val="00C36D62"/>
    <w:rsid w:val="00C3715E"/>
    <w:rsid w:val="00C478C9"/>
    <w:rsid w:val="00C50851"/>
    <w:rsid w:val="00C56FDD"/>
    <w:rsid w:val="00C62328"/>
    <w:rsid w:val="00C65F3A"/>
    <w:rsid w:val="00C6637E"/>
    <w:rsid w:val="00C763A0"/>
    <w:rsid w:val="00C7670B"/>
    <w:rsid w:val="00C91BCE"/>
    <w:rsid w:val="00C93AE5"/>
    <w:rsid w:val="00CA681B"/>
    <w:rsid w:val="00CB333C"/>
    <w:rsid w:val="00CB5CEA"/>
    <w:rsid w:val="00CB6B1A"/>
    <w:rsid w:val="00CB7D47"/>
    <w:rsid w:val="00CC4646"/>
    <w:rsid w:val="00CD1A6E"/>
    <w:rsid w:val="00CD40F3"/>
    <w:rsid w:val="00CE567A"/>
    <w:rsid w:val="00CF6612"/>
    <w:rsid w:val="00CF77C7"/>
    <w:rsid w:val="00D04C0A"/>
    <w:rsid w:val="00D079DF"/>
    <w:rsid w:val="00D140A8"/>
    <w:rsid w:val="00D14291"/>
    <w:rsid w:val="00D14D1A"/>
    <w:rsid w:val="00D21B64"/>
    <w:rsid w:val="00D250C0"/>
    <w:rsid w:val="00D25791"/>
    <w:rsid w:val="00D349C5"/>
    <w:rsid w:val="00D43512"/>
    <w:rsid w:val="00D44CAA"/>
    <w:rsid w:val="00D475F1"/>
    <w:rsid w:val="00D518F8"/>
    <w:rsid w:val="00D5453B"/>
    <w:rsid w:val="00D57860"/>
    <w:rsid w:val="00D63334"/>
    <w:rsid w:val="00D63CD8"/>
    <w:rsid w:val="00D64B32"/>
    <w:rsid w:val="00D670E0"/>
    <w:rsid w:val="00D70D5E"/>
    <w:rsid w:val="00D73240"/>
    <w:rsid w:val="00D777DD"/>
    <w:rsid w:val="00D80032"/>
    <w:rsid w:val="00D8536C"/>
    <w:rsid w:val="00D86351"/>
    <w:rsid w:val="00DA30E9"/>
    <w:rsid w:val="00DB5685"/>
    <w:rsid w:val="00DC04EC"/>
    <w:rsid w:val="00DC5811"/>
    <w:rsid w:val="00DC67AB"/>
    <w:rsid w:val="00DD32D5"/>
    <w:rsid w:val="00DF12BF"/>
    <w:rsid w:val="00DF2407"/>
    <w:rsid w:val="00DF4EF9"/>
    <w:rsid w:val="00E02658"/>
    <w:rsid w:val="00E05092"/>
    <w:rsid w:val="00E22F87"/>
    <w:rsid w:val="00E33C9E"/>
    <w:rsid w:val="00E35B5D"/>
    <w:rsid w:val="00E44565"/>
    <w:rsid w:val="00E44E6B"/>
    <w:rsid w:val="00E470A6"/>
    <w:rsid w:val="00E50041"/>
    <w:rsid w:val="00E644A2"/>
    <w:rsid w:val="00E66A25"/>
    <w:rsid w:val="00E70716"/>
    <w:rsid w:val="00E72721"/>
    <w:rsid w:val="00E75910"/>
    <w:rsid w:val="00E81B3B"/>
    <w:rsid w:val="00E87E94"/>
    <w:rsid w:val="00E9490C"/>
    <w:rsid w:val="00EA2B89"/>
    <w:rsid w:val="00EB2C0A"/>
    <w:rsid w:val="00EB3416"/>
    <w:rsid w:val="00EC685D"/>
    <w:rsid w:val="00ED0B26"/>
    <w:rsid w:val="00ED24FD"/>
    <w:rsid w:val="00ED3DF8"/>
    <w:rsid w:val="00ED42BD"/>
    <w:rsid w:val="00EE0832"/>
    <w:rsid w:val="00EF256D"/>
    <w:rsid w:val="00EF2748"/>
    <w:rsid w:val="00F11695"/>
    <w:rsid w:val="00F16B67"/>
    <w:rsid w:val="00F17019"/>
    <w:rsid w:val="00F32736"/>
    <w:rsid w:val="00F3682B"/>
    <w:rsid w:val="00F42BE4"/>
    <w:rsid w:val="00F51162"/>
    <w:rsid w:val="00F51298"/>
    <w:rsid w:val="00F54947"/>
    <w:rsid w:val="00F60A76"/>
    <w:rsid w:val="00F62963"/>
    <w:rsid w:val="00F63F0B"/>
    <w:rsid w:val="00F64192"/>
    <w:rsid w:val="00F76698"/>
    <w:rsid w:val="00F87EA1"/>
    <w:rsid w:val="00F9093F"/>
    <w:rsid w:val="00FB2A73"/>
    <w:rsid w:val="00FB403C"/>
    <w:rsid w:val="00FB5128"/>
    <w:rsid w:val="00FB6808"/>
    <w:rsid w:val="00FC0598"/>
    <w:rsid w:val="00FC3E9B"/>
    <w:rsid w:val="00FC6841"/>
    <w:rsid w:val="00FC7B43"/>
    <w:rsid w:val="00FD2B1C"/>
    <w:rsid w:val="00FE2F00"/>
    <w:rsid w:val="00FF1C69"/>
    <w:rsid w:val="00FF45AE"/>
    <w:rsid w:val="00FF5820"/>
    <w:rsid w:val="00FF738E"/>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E4895"/>
  <w15:chartTrackingRefBased/>
  <w15:docId w15:val="{9AD28788-CEA6-498E-B997-969F28CF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298"/>
  </w:style>
  <w:style w:type="paragraph" w:styleId="Heading1">
    <w:name w:val="heading 1"/>
    <w:basedOn w:val="Normal"/>
    <w:next w:val="Normal"/>
    <w:link w:val="Heading1Char"/>
    <w:uiPriority w:val="9"/>
    <w:qFormat/>
    <w:rsid w:val="00F51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73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29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3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876B1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0673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3">
    <w:name w:val="Grid Table 4 Accent 3"/>
    <w:basedOn w:val="TableNormal"/>
    <w:uiPriority w:val="49"/>
    <w:rsid w:val="000673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3">
    <w:name w:val="List Table 5 Dark Accent 3"/>
    <w:basedOn w:val="TableNormal"/>
    <w:uiPriority w:val="50"/>
    <w:rsid w:val="0006739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06739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7Colorful">
    <w:name w:val="Grid Table 7 Colorful"/>
    <w:basedOn w:val="TableNormal"/>
    <w:uiPriority w:val="52"/>
    <w:rsid w:val="0006739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06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399"/>
  </w:style>
  <w:style w:type="paragraph" w:styleId="Footer">
    <w:name w:val="footer"/>
    <w:basedOn w:val="Normal"/>
    <w:link w:val="FooterChar"/>
    <w:uiPriority w:val="99"/>
    <w:unhideWhenUsed/>
    <w:rsid w:val="0006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399"/>
  </w:style>
  <w:style w:type="character" w:customStyle="1" w:styleId="Heading2Char">
    <w:name w:val="Heading 2 Char"/>
    <w:basedOn w:val="DefaultParagraphFont"/>
    <w:link w:val="Heading2"/>
    <w:uiPriority w:val="9"/>
    <w:rsid w:val="0006739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C2B20"/>
    <w:pPr>
      <w:outlineLvl w:val="9"/>
    </w:pPr>
    <w:rPr>
      <w:lang w:val="en-US"/>
    </w:rPr>
  </w:style>
  <w:style w:type="paragraph" w:styleId="TOC1">
    <w:name w:val="toc 1"/>
    <w:basedOn w:val="Normal"/>
    <w:next w:val="Normal"/>
    <w:autoRedefine/>
    <w:uiPriority w:val="39"/>
    <w:unhideWhenUsed/>
    <w:rsid w:val="002C2B20"/>
    <w:pPr>
      <w:spacing w:after="100"/>
    </w:pPr>
  </w:style>
  <w:style w:type="paragraph" w:styleId="TOC2">
    <w:name w:val="toc 2"/>
    <w:basedOn w:val="Normal"/>
    <w:next w:val="Normal"/>
    <w:autoRedefine/>
    <w:uiPriority w:val="39"/>
    <w:unhideWhenUsed/>
    <w:rsid w:val="002C2B20"/>
    <w:pPr>
      <w:spacing w:after="100"/>
      <w:ind w:left="220"/>
    </w:pPr>
  </w:style>
  <w:style w:type="character" w:styleId="Hyperlink">
    <w:name w:val="Hyperlink"/>
    <w:basedOn w:val="DefaultParagraphFont"/>
    <w:uiPriority w:val="99"/>
    <w:unhideWhenUsed/>
    <w:rsid w:val="002C2B20"/>
    <w:rPr>
      <w:color w:val="0563C1" w:themeColor="hyperlink"/>
      <w:u w:val="single"/>
    </w:rPr>
  </w:style>
  <w:style w:type="paragraph" w:styleId="FootnoteText">
    <w:name w:val="footnote text"/>
    <w:basedOn w:val="Normal"/>
    <w:link w:val="FootnoteTextChar"/>
    <w:uiPriority w:val="99"/>
    <w:semiHidden/>
    <w:unhideWhenUsed/>
    <w:rsid w:val="007405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5F9"/>
    <w:rPr>
      <w:sz w:val="20"/>
      <w:szCs w:val="20"/>
    </w:rPr>
  </w:style>
  <w:style w:type="character" w:styleId="FootnoteReference">
    <w:name w:val="footnote reference"/>
    <w:basedOn w:val="DefaultParagraphFont"/>
    <w:uiPriority w:val="99"/>
    <w:semiHidden/>
    <w:unhideWhenUsed/>
    <w:rsid w:val="007405F9"/>
    <w:rPr>
      <w:vertAlign w:val="superscript"/>
    </w:rPr>
  </w:style>
  <w:style w:type="paragraph" w:styleId="NoSpacing">
    <w:name w:val="No Spacing"/>
    <w:uiPriority w:val="1"/>
    <w:qFormat/>
    <w:rsid w:val="007405F9"/>
    <w:pPr>
      <w:spacing w:after="0" w:line="240" w:lineRule="auto"/>
    </w:pPr>
  </w:style>
  <w:style w:type="paragraph" w:styleId="BalloonText">
    <w:name w:val="Balloon Text"/>
    <w:basedOn w:val="Normal"/>
    <w:link w:val="BalloonTextChar"/>
    <w:uiPriority w:val="99"/>
    <w:semiHidden/>
    <w:unhideWhenUsed/>
    <w:rsid w:val="003B4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28E"/>
    <w:rPr>
      <w:rFonts w:ascii="Segoe UI" w:hAnsi="Segoe UI" w:cs="Segoe UI"/>
      <w:sz w:val="18"/>
      <w:szCs w:val="18"/>
    </w:rPr>
  </w:style>
  <w:style w:type="table" w:styleId="GridTable5Dark-Accent3">
    <w:name w:val="Grid Table 5 Dark Accent 3"/>
    <w:basedOn w:val="TableNormal"/>
    <w:uiPriority w:val="50"/>
    <w:rsid w:val="006B61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
    <w:name w:val="Grid Table 4"/>
    <w:basedOn w:val="TableNormal"/>
    <w:uiPriority w:val="49"/>
    <w:rsid w:val="006B61A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1130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65012"/>
    <w:rPr>
      <w:sz w:val="16"/>
      <w:szCs w:val="16"/>
    </w:rPr>
  </w:style>
  <w:style w:type="paragraph" w:styleId="CommentText">
    <w:name w:val="annotation text"/>
    <w:basedOn w:val="Normal"/>
    <w:link w:val="CommentTextChar"/>
    <w:uiPriority w:val="99"/>
    <w:semiHidden/>
    <w:unhideWhenUsed/>
    <w:rsid w:val="00165012"/>
    <w:pPr>
      <w:spacing w:line="240" w:lineRule="auto"/>
    </w:pPr>
    <w:rPr>
      <w:sz w:val="20"/>
      <w:szCs w:val="20"/>
    </w:rPr>
  </w:style>
  <w:style w:type="character" w:customStyle="1" w:styleId="CommentTextChar">
    <w:name w:val="Comment Text Char"/>
    <w:basedOn w:val="DefaultParagraphFont"/>
    <w:link w:val="CommentText"/>
    <w:uiPriority w:val="99"/>
    <w:semiHidden/>
    <w:rsid w:val="00165012"/>
    <w:rPr>
      <w:sz w:val="20"/>
      <w:szCs w:val="20"/>
    </w:rPr>
  </w:style>
  <w:style w:type="paragraph" w:styleId="CommentSubject">
    <w:name w:val="annotation subject"/>
    <w:basedOn w:val="CommentText"/>
    <w:next w:val="CommentText"/>
    <w:link w:val="CommentSubjectChar"/>
    <w:uiPriority w:val="99"/>
    <w:semiHidden/>
    <w:unhideWhenUsed/>
    <w:rsid w:val="00165012"/>
    <w:rPr>
      <w:b/>
      <w:bCs/>
    </w:rPr>
  </w:style>
  <w:style w:type="character" w:customStyle="1" w:styleId="CommentSubjectChar">
    <w:name w:val="Comment Subject Char"/>
    <w:basedOn w:val="CommentTextChar"/>
    <w:link w:val="CommentSubject"/>
    <w:uiPriority w:val="99"/>
    <w:semiHidden/>
    <w:rsid w:val="00165012"/>
    <w:rPr>
      <w:b/>
      <w:bCs/>
      <w:sz w:val="20"/>
      <w:szCs w:val="20"/>
    </w:rPr>
  </w:style>
  <w:style w:type="paragraph" w:styleId="PlainText">
    <w:name w:val="Plain Text"/>
    <w:basedOn w:val="Normal"/>
    <w:link w:val="PlainTextChar"/>
    <w:uiPriority w:val="99"/>
    <w:semiHidden/>
    <w:unhideWhenUsed/>
    <w:rsid w:val="00B07C39"/>
    <w:pPr>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semiHidden/>
    <w:rsid w:val="00B07C39"/>
    <w:rPr>
      <w:rFonts w:ascii="Calibri" w:hAnsi="Calibri" w:cs="Consolas"/>
      <w:szCs w:val="21"/>
      <w:lang w:val="en-GB"/>
    </w:rPr>
  </w:style>
  <w:style w:type="paragraph" w:styleId="ListParagraph">
    <w:name w:val="List Paragraph"/>
    <w:basedOn w:val="Normal"/>
    <w:uiPriority w:val="34"/>
    <w:qFormat/>
    <w:rsid w:val="00ED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1026">
      <w:bodyDiv w:val="1"/>
      <w:marLeft w:val="0"/>
      <w:marRight w:val="0"/>
      <w:marTop w:val="0"/>
      <w:marBottom w:val="0"/>
      <w:divBdr>
        <w:top w:val="none" w:sz="0" w:space="0" w:color="auto"/>
        <w:left w:val="none" w:sz="0" w:space="0" w:color="auto"/>
        <w:bottom w:val="none" w:sz="0" w:space="0" w:color="auto"/>
        <w:right w:val="none" w:sz="0" w:space="0" w:color="auto"/>
      </w:divBdr>
    </w:div>
    <w:div w:id="1012873281">
      <w:bodyDiv w:val="1"/>
      <w:marLeft w:val="0"/>
      <w:marRight w:val="0"/>
      <w:marTop w:val="0"/>
      <w:marBottom w:val="0"/>
      <w:divBdr>
        <w:top w:val="none" w:sz="0" w:space="0" w:color="auto"/>
        <w:left w:val="none" w:sz="0" w:space="0" w:color="auto"/>
        <w:bottom w:val="none" w:sz="0" w:space="0" w:color="auto"/>
        <w:right w:val="none" w:sz="0" w:space="0" w:color="auto"/>
      </w:divBdr>
    </w:div>
    <w:div w:id="17940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JM"/>
              <a:t>Fixed Services Subscriptions ('000)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'Fixed L Subscript '!$A$6</c:f>
              <c:strCache>
                <c:ptCount val="1"/>
                <c:pt idx="0">
                  <c:v>Total Subscriptions </c:v>
                </c:pt>
              </c:strCache>
            </c:strRef>
          </c:tx>
          <c:spPr>
            <a:ln w="31750" cap="rnd">
              <a:solidFill>
                <a:schemeClr val="accent1"/>
              </a:solidFill>
              <a:round/>
            </a:ln>
            <a:effectLst/>
          </c:spPr>
          <c:marker>
            <c:symbol val="circle"/>
            <c:size val="17"/>
            <c:spPr>
              <a:solidFill>
                <a:schemeClr val="accent1"/>
              </a:solidFill>
              <a:ln>
                <a:noFill/>
              </a:ln>
              <a:effectLst/>
            </c:spPr>
          </c:marker>
          <c:cat>
            <c:strRef>
              <c:f>'Fixed L Subscript '!$B$5:$D$5</c:f>
              <c:strCache>
                <c:ptCount val="3"/>
                <c:pt idx="0">
                  <c:v>Q 4 2017</c:v>
                </c:pt>
                <c:pt idx="1">
                  <c:v>Q3 2018</c:v>
                </c:pt>
                <c:pt idx="2">
                  <c:v>Q4 2018</c:v>
                </c:pt>
              </c:strCache>
            </c:strRef>
          </c:cat>
          <c:val>
            <c:numRef>
              <c:f>'Fixed L Subscript '!$B$6:$D$6</c:f>
              <c:numCache>
                <c:formatCode>0.00</c:formatCode>
                <c:ptCount val="3"/>
                <c:pt idx="0">
                  <c:v>297.02600000000001</c:v>
                </c:pt>
                <c:pt idx="1">
                  <c:v>364.03300000000002</c:v>
                </c:pt>
                <c:pt idx="2">
                  <c:v>363.82000000000005</c:v>
                </c:pt>
              </c:numCache>
            </c:numRef>
          </c:val>
          <c:smooth val="0"/>
          <c:extLst>
            <c:ext xmlns:c16="http://schemas.microsoft.com/office/drawing/2014/chart" uri="{C3380CC4-5D6E-409C-BE32-E72D297353CC}">
              <c16:uniqueId val="{00000000-D15D-42CC-B6F8-857ED3AA755D}"/>
            </c:ext>
          </c:extLst>
        </c:ser>
        <c:ser>
          <c:idx val="1"/>
          <c:order val="1"/>
          <c:tx>
            <c:strRef>
              <c:f>'Fixed L Subscript '!$A$7</c:f>
              <c:strCache>
                <c:ptCount val="1"/>
                <c:pt idx="0">
                  <c:v>Residential</c:v>
                </c:pt>
              </c:strCache>
            </c:strRef>
          </c:tx>
          <c:spPr>
            <a:ln w="31750" cap="rnd">
              <a:solidFill>
                <a:schemeClr val="accent2"/>
              </a:solidFill>
              <a:round/>
            </a:ln>
            <a:effectLst/>
          </c:spPr>
          <c:marker>
            <c:symbol val="circle"/>
            <c:size val="17"/>
            <c:spPr>
              <a:solidFill>
                <a:schemeClr val="accent2"/>
              </a:solidFill>
              <a:ln>
                <a:noFill/>
              </a:ln>
              <a:effectLst/>
            </c:spPr>
          </c:marker>
          <c:cat>
            <c:strRef>
              <c:f>'Fixed L Subscript '!$B$5:$D$5</c:f>
              <c:strCache>
                <c:ptCount val="3"/>
                <c:pt idx="0">
                  <c:v>Q 4 2017</c:v>
                </c:pt>
                <c:pt idx="1">
                  <c:v>Q3 2018</c:v>
                </c:pt>
                <c:pt idx="2">
                  <c:v>Q4 2018</c:v>
                </c:pt>
              </c:strCache>
            </c:strRef>
          </c:cat>
          <c:val>
            <c:numRef>
              <c:f>'Fixed L Subscript '!$B$7:$D$7</c:f>
              <c:numCache>
                <c:formatCode>0.00</c:formatCode>
                <c:ptCount val="3"/>
                <c:pt idx="0">
                  <c:v>225.49100000000001</c:v>
                </c:pt>
                <c:pt idx="1">
                  <c:v>292.06599999999997</c:v>
                </c:pt>
                <c:pt idx="2">
                  <c:v>293.05100000000004</c:v>
                </c:pt>
              </c:numCache>
            </c:numRef>
          </c:val>
          <c:smooth val="0"/>
          <c:extLst>
            <c:ext xmlns:c16="http://schemas.microsoft.com/office/drawing/2014/chart" uri="{C3380CC4-5D6E-409C-BE32-E72D297353CC}">
              <c16:uniqueId val="{00000001-D15D-42CC-B6F8-857ED3AA755D}"/>
            </c:ext>
          </c:extLst>
        </c:ser>
        <c:ser>
          <c:idx val="2"/>
          <c:order val="2"/>
          <c:tx>
            <c:strRef>
              <c:f>'Fixed L Subscript '!$A$8</c:f>
              <c:strCache>
                <c:ptCount val="1"/>
                <c:pt idx="0">
                  <c:v>Business</c:v>
                </c:pt>
              </c:strCache>
            </c:strRef>
          </c:tx>
          <c:spPr>
            <a:ln w="31750" cap="rnd">
              <a:solidFill>
                <a:schemeClr val="accent6"/>
              </a:solidFill>
              <a:round/>
            </a:ln>
            <a:effectLst/>
          </c:spPr>
          <c:marker>
            <c:symbol val="circle"/>
            <c:size val="17"/>
            <c:spPr>
              <a:solidFill>
                <a:schemeClr val="accent6"/>
              </a:solidFill>
              <a:ln>
                <a:solidFill>
                  <a:schemeClr val="accent6"/>
                </a:solidFill>
              </a:ln>
              <a:effectLst/>
            </c:spPr>
          </c:marker>
          <c:cat>
            <c:strRef>
              <c:f>'Fixed L Subscript '!$B$5:$D$5</c:f>
              <c:strCache>
                <c:ptCount val="3"/>
                <c:pt idx="0">
                  <c:v>Q 4 2017</c:v>
                </c:pt>
                <c:pt idx="1">
                  <c:v>Q3 2018</c:v>
                </c:pt>
                <c:pt idx="2">
                  <c:v>Q4 2018</c:v>
                </c:pt>
              </c:strCache>
            </c:strRef>
          </c:cat>
          <c:val>
            <c:numRef>
              <c:f>'Fixed L Subscript '!$B$8:$D$8</c:f>
              <c:numCache>
                <c:formatCode>0.00</c:formatCode>
                <c:ptCount val="3"/>
                <c:pt idx="0">
                  <c:v>71.534999999999997</c:v>
                </c:pt>
                <c:pt idx="1">
                  <c:v>71.967000000000013</c:v>
                </c:pt>
                <c:pt idx="2">
                  <c:v>70.768999999999991</c:v>
                </c:pt>
              </c:numCache>
            </c:numRef>
          </c:val>
          <c:smooth val="0"/>
          <c:extLst>
            <c:ext xmlns:c16="http://schemas.microsoft.com/office/drawing/2014/chart" uri="{C3380CC4-5D6E-409C-BE32-E72D297353CC}">
              <c16:uniqueId val="{00000002-D15D-42CC-B6F8-857ED3AA755D}"/>
            </c:ext>
          </c:extLst>
        </c:ser>
        <c:dLbls>
          <c:showLegendKey val="0"/>
          <c:showVal val="0"/>
          <c:showCatName val="0"/>
          <c:showSerName val="0"/>
          <c:showPercent val="0"/>
          <c:showBubbleSize val="0"/>
        </c:dLbls>
        <c:marker val="1"/>
        <c:smooth val="0"/>
        <c:axId val="-1120183088"/>
        <c:axId val="-1120180368"/>
      </c:lineChart>
      <c:catAx>
        <c:axId val="-1120183088"/>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20180368"/>
        <c:crosses val="autoZero"/>
        <c:auto val="1"/>
        <c:lblAlgn val="ctr"/>
        <c:lblOffset val="100"/>
        <c:noMultiLvlLbl val="0"/>
      </c:catAx>
      <c:valAx>
        <c:axId val="-112018036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Subscriptions '000'</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201830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Fixed Call Minutes ('000)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'Fixed L Subscript '!$B$31</c:f>
              <c:strCache>
                <c:ptCount val="1"/>
                <c:pt idx="0">
                  <c:v>Q4 2017</c:v>
                </c:pt>
              </c:strCache>
            </c:strRef>
          </c:tx>
          <c:spPr>
            <a:solidFill>
              <a:schemeClr val="accent6"/>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'Fixed L Subscript '!$A$32:$A$36</c:f>
              <c:strCache>
                <c:ptCount val="5"/>
                <c:pt idx="0">
                  <c:v>Fixed to Fixed </c:v>
                </c:pt>
                <c:pt idx="1">
                  <c:v>Fixed to Mobile</c:v>
                </c:pt>
                <c:pt idx="2">
                  <c:v>Total International</c:v>
                </c:pt>
                <c:pt idx="3">
                  <c:v>Int'l - Outgoing</c:v>
                </c:pt>
                <c:pt idx="4">
                  <c:v>Int'l - Incoming</c:v>
                </c:pt>
              </c:strCache>
            </c:strRef>
          </c:cat>
          <c:val>
            <c:numRef>
              <c:f>'Fixed L Subscript '!$B$32:$B$36</c:f>
              <c:numCache>
                <c:formatCode>_-* #,##0.00_-;\-* #,##0.00_-;_-* "-"??_-;_-@_-</c:formatCode>
                <c:ptCount val="5"/>
                <c:pt idx="0">
                  <c:v>96433.757598333337</c:v>
                </c:pt>
                <c:pt idx="1">
                  <c:v>82027.849769999899</c:v>
                </c:pt>
                <c:pt idx="2">
                  <c:v>41527.172491166697</c:v>
                </c:pt>
                <c:pt idx="3">
                  <c:v>10117.69785</c:v>
                </c:pt>
                <c:pt idx="4">
                  <c:v>31409.4746411667</c:v>
                </c:pt>
              </c:numCache>
            </c:numRef>
          </c:val>
          <c:extLst>
            <c:ext xmlns:c16="http://schemas.microsoft.com/office/drawing/2014/chart" uri="{C3380CC4-5D6E-409C-BE32-E72D297353CC}">
              <c16:uniqueId val="{00000000-817B-4367-B76A-75D40E6452D9}"/>
            </c:ext>
          </c:extLst>
        </c:ser>
        <c:ser>
          <c:idx val="1"/>
          <c:order val="1"/>
          <c:tx>
            <c:strRef>
              <c:f>'Fixed L Subscript '!$C$31</c:f>
              <c:strCache>
                <c:ptCount val="1"/>
                <c:pt idx="0">
                  <c:v>Q3 2018</c:v>
                </c:pt>
              </c:strCache>
            </c:strRef>
          </c:tx>
          <c:spPr>
            <a:solidFill>
              <a:schemeClr val="accent5"/>
            </a:solidFill>
            <a:ln w="9525" cap="flat" cmpd="sng" algn="ctr">
              <a:solidFill>
                <a:schemeClr val="accent5"/>
              </a:solidFill>
              <a:round/>
            </a:ln>
            <a:effectLst/>
            <a:sp3d contourW="9525">
              <a:contourClr>
                <a:schemeClr val="accent5"/>
              </a:contourClr>
            </a:sp3d>
          </c:spPr>
          <c:invertIfNegative val="0"/>
          <c:cat>
            <c:strRef>
              <c:f>'Fixed L Subscript '!$A$32:$A$36</c:f>
              <c:strCache>
                <c:ptCount val="5"/>
                <c:pt idx="0">
                  <c:v>Fixed to Fixed </c:v>
                </c:pt>
                <c:pt idx="1">
                  <c:v>Fixed to Mobile</c:v>
                </c:pt>
                <c:pt idx="2">
                  <c:v>Total International</c:v>
                </c:pt>
                <c:pt idx="3">
                  <c:v>Int'l - Outgoing</c:v>
                </c:pt>
                <c:pt idx="4">
                  <c:v>Int'l - Incoming</c:v>
                </c:pt>
              </c:strCache>
            </c:strRef>
          </c:cat>
          <c:val>
            <c:numRef>
              <c:f>'Fixed L Subscript '!$C$32:$C$36</c:f>
              <c:numCache>
                <c:formatCode>_-* #,##0.00_-;\-* #,##0.00_-;_-* "-"??_-;_-@_-</c:formatCode>
                <c:ptCount val="5"/>
                <c:pt idx="0">
                  <c:v>77532.740896667194</c:v>
                </c:pt>
                <c:pt idx="1">
                  <c:v>80135.213309985207</c:v>
                </c:pt>
                <c:pt idx="2">
                  <c:v>21513.739488499996</c:v>
                </c:pt>
                <c:pt idx="3">
                  <c:v>6419.7430666666442</c:v>
                </c:pt>
                <c:pt idx="4">
                  <c:v>15093.996421833352</c:v>
                </c:pt>
              </c:numCache>
            </c:numRef>
          </c:val>
          <c:extLst>
            <c:ext xmlns:c16="http://schemas.microsoft.com/office/drawing/2014/chart" uri="{C3380CC4-5D6E-409C-BE32-E72D297353CC}">
              <c16:uniqueId val="{00000001-817B-4367-B76A-75D40E6452D9}"/>
            </c:ext>
          </c:extLst>
        </c:ser>
        <c:ser>
          <c:idx val="2"/>
          <c:order val="2"/>
          <c:tx>
            <c:strRef>
              <c:f>'Fixed L Subscript '!$D$31</c:f>
              <c:strCache>
                <c:ptCount val="1"/>
                <c:pt idx="0">
                  <c:v>Q4 2018</c:v>
                </c:pt>
              </c:strCache>
            </c:strRef>
          </c:tx>
          <c:spPr>
            <a:solidFill>
              <a:schemeClr val="accent4"/>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'Fixed L Subscript '!$A$32:$A$36</c:f>
              <c:strCache>
                <c:ptCount val="5"/>
                <c:pt idx="0">
                  <c:v>Fixed to Fixed </c:v>
                </c:pt>
                <c:pt idx="1">
                  <c:v>Fixed to Mobile</c:v>
                </c:pt>
                <c:pt idx="2">
                  <c:v>Total International</c:v>
                </c:pt>
                <c:pt idx="3">
                  <c:v>Int'l - Outgoing</c:v>
                </c:pt>
                <c:pt idx="4">
                  <c:v>Int'l - Incoming</c:v>
                </c:pt>
              </c:strCache>
            </c:strRef>
          </c:cat>
          <c:val>
            <c:numRef>
              <c:f>'Fixed L Subscript '!$D$32:$D$36</c:f>
              <c:numCache>
                <c:formatCode>_-* #,##0.00_-;\-* #,##0.00_-;_-* "-"??_-;_-@_-</c:formatCode>
                <c:ptCount val="5"/>
                <c:pt idx="0">
                  <c:v>69964.68567499987</c:v>
                </c:pt>
                <c:pt idx="1">
                  <c:v>75034.722906659008</c:v>
                </c:pt>
                <c:pt idx="2">
                  <c:v>18743.22946766669</c:v>
                </c:pt>
                <c:pt idx="3">
                  <c:v>5891.300166666686</c:v>
                </c:pt>
                <c:pt idx="4">
                  <c:v>12851.929301000004</c:v>
                </c:pt>
              </c:numCache>
            </c:numRef>
          </c:val>
          <c:extLst>
            <c:ext xmlns:c16="http://schemas.microsoft.com/office/drawing/2014/chart" uri="{C3380CC4-5D6E-409C-BE32-E72D297353CC}">
              <c16:uniqueId val="{00000002-817B-4367-B76A-75D40E6452D9}"/>
            </c:ext>
          </c:extLst>
        </c:ser>
        <c:dLbls>
          <c:showLegendKey val="0"/>
          <c:showVal val="0"/>
          <c:showCatName val="0"/>
          <c:showSerName val="0"/>
          <c:showPercent val="0"/>
          <c:showBubbleSize val="0"/>
        </c:dLbls>
        <c:gapWidth val="150"/>
        <c:shape val="box"/>
        <c:axId val="-1120176016"/>
        <c:axId val="-1074367840"/>
        <c:axId val="0"/>
      </c:bar3DChart>
      <c:catAx>
        <c:axId val="-1120176016"/>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4367840"/>
        <c:crossesAt val="0"/>
        <c:auto val="1"/>
        <c:lblAlgn val="ctr"/>
        <c:lblOffset val="100"/>
        <c:noMultiLvlLbl val="0"/>
      </c:catAx>
      <c:valAx>
        <c:axId val="-1074367840"/>
        <c:scaling>
          <c:orientation val="minMax"/>
          <c:max val="100000"/>
        </c:scaling>
        <c:delete val="0"/>
        <c:axPos val="b"/>
        <c:majorGridlines>
          <c:spPr>
            <a:ln w="9525" cap="flat" cmpd="sng" algn="ctr">
              <a:solidFill>
                <a:schemeClr val="dk1">
                  <a:lumMod val="15000"/>
                  <a:lumOff val="85000"/>
                </a:schemeClr>
              </a:solidFill>
              <a:round/>
            </a:ln>
            <a:effectLst/>
          </c:spPr>
        </c:majorGridlines>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120176016"/>
        <c:crosses val="autoZero"/>
        <c:crossBetween val="between"/>
        <c:majorUnit val="20000"/>
        <c:minorUnit val="2000"/>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Fixed Call Revenue Distribution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'Fixed L Subscript '!$A$51</c:f>
              <c:strCache>
                <c:ptCount val="1"/>
                <c:pt idx="0">
                  <c:v>Fixed to Fixed </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'Fixed L Subscript '!$B$50:$D$50</c:f>
              <c:strCache>
                <c:ptCount val="3"/>
                <c:pt idx="0">
                  <c:v>Q4 2017</c:v>
                </c:pt>
                <c:pt idx="1">
                  <c:v>Q3 2018</c:v>
                </c:pt>
                <c:pt idx="2">
                  <c:v>Q4 2018</c:v>
                </c:pt>
              </c:strCache>
            </c:strRef>
          </c:cat>
          <c:val>
            <c:numRef>
              <c:f>'Fixed L Subscript '!$B$51:$D$51</c:f>
              <c:numCache>
                <c:formatCode>_-* #,##0.00_-;\-* #,##0.00_-;_-* "-"??_-;_-@_-</c:formatCode>
                <c:ptCount val="3"/>
                <c:pt idx="0">
                  <c:v>124324.94129616996</c:v>
                </c:pt>
                <c:pt idx="1">
                  <c:v>99626.603895345717</c:v>
                </c:pt>
                <c:pt idx="2">
                  <c:v>103421.77524244158</c:v>
                </c:pt>
              </c:numCache>
            </c:numRef>
          </c:val>
          <c:extLst>
            <c:ext xmlns:c16="http://schemas.microsoft.com/office/drawing/2014/chart" uri="{C3380CC4-5D6E-409C-BE32-E72D297353CC}">
              <c16:uniqueId val="{00000000-9870-4C52-8B1A-485BFFBE40C0}"/>
            </c:ext>
          </c:extLst>
        </c:ser>
        <c:ser>
          <c:idx val="1"/>
          <c:order val="1"/>
          <c:tx>
            <c:strRef>
              <c:f>'Fixed L Subscript '!$A$52</c:f>
              <c:strCache>
                <c:ptCount val="1"/>
                <c:pt idx="0">
                  <c:v>Fixed to Mobile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'Fixed L Subscript '!$B$50:$D$50</c:f>
              <c:strCache>
                <c:ptCount val="3"/>
                <c:pt idx="0">
                  <c:v>Q4 2017</c:v>
                </c:pt>
                <c:pt idx="1">
                  <c:v>Q3 2018</c:v>
                </c:pt>
                <c:pt idx="2">
                  <c:v>Q4 2018</c:v>
                </c:pt>
              </c:strCache>
            </c:strRef>
          </c:cat>
          <c:val>
            <c:numRef>
              <c:f>'Fixed L Subscript '!$B$52:$D$52</c:f>
              <c:numCache>
                <c:formatCode>_-* #,##0.00_-;\-* #,##0.00_-;_-* "-"??_-;_-@_-</c:formatCode>
                <c:ptCount val="3"/>
                <c:pt idx="0">
                  <c:v>151772.58400526096</c:v>
                </c:pt>
                <c:pt idx="1">
                  <c:v>200659.424178744</c:v>
                </c:pt>
                <c:pt idx="2">
                  <c:v>180994.80589804903</c:v>
                </c:pt>
              </c:numCache>
            </c:numRef>
          </c:val>
          <c:extLst>
            <c:ext xmlns:c16="http://schemas.microsoft.com/office/drawing/2014/chart" uri="{C3380CC4-5D6E-409C-BE32-E72D297353CC}">
              <c16:uniqueId val="{00000001-9870-4C52-8B1A-485BFFBE40C0}"/>
            </c:ext>
          </c:extLst>
        </c:ser>
        <c:ser>
          <c:idx val="2"/>
          <c:order val="2"/>
          <c:tx>
            <c:strRef>
              <c:f>'Fixed L Subscript '!$A$53</c:f>
              <c:strCache>
                <c:ptCount val="1"/>
                <c:pt idx="0">
                  <c:v>Total International</c:v>
                </c:pt>
              </c:strCache>
            </c:strRef>
          </c:tx>
          <c:spPr>
            <a:solidFill>
              <a:schemeClr val="accent6">
                <a:alpha val="84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Pt>
            <c:idx val="0"/>
            <c:invertIfNegative val="0"/>
            <c:bubble3D val="0"/>
            <c:spPr>
              <a:solidFill>
                <a:schemeClr val="accent6">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c:ext xmlns:c16="http://schemas.microsoft.com/office/drawing/2014/chart" uri="{C3380CC4-5D6E-409C-BE32-E72D297353CC}">
                <c16:uniqueId val="{00000003-9870-4C52-8B1A-485BFFBE40C0}"/>
              </c:ext>
            </c:extLst>
          </c:dPt>
          <c:cat>
            <c:strRef>
              <c:f>'Fixed L Subscript '!$B$50:$D$50</c:f>
              <c:strCache>
                <c:ptCount val="3"/>
                <c:pt idx="0">
                  <c:v>Q4 2017</c:v>
                </c:pt>
                <c:pt idx="1">
                  <c:v>Q3 2018</c:v>
                </c:pt>
                <c:pt idx="2">
                  <c:v>Q4 2018</c:v>
                </c:pt>
              </c:strCache>
            </c:strRef>
          </c:cat>
          <c:val>
            <c:numRef>
              <c:f>'Fixed L Subscript '!$B$53:$D$53</c:f>
              <c:numCache>
                <c:formatCode>_-* #,##0.00_-;\-* #,##0.00_-;_-* "-"??_-;_-@_-</c:formatCode>
                <c:ptCount val="3"/>
                <c:pt idx="0">
                  <c:v>710039.25536010112</c:v>
                </c:pt>
                <c:pt idx="1">
                  <c:v>300397.27292430913</c:v>
                </c:pt>
                <c:pt idx="2">
                  <c:v>294916.54423970584</c:v>
                </c:pt>
              </c:numCache>
            </c:numRef>
          </c:val>
          <c:extLst>
            <c:ext xmlns:c16="http://schemas.microsoft.com/office/drawing/2014/chart" uri="{C3380CC4-5D6E-409C-BE32-E72D297353CC}">
              <c16:uniqueId val="{00000004-9870-4C52-8B1A-485BFFBE40C0}"/>
            </c:ext>
          </c:extLst>
        </c:ser>
        <c:ser>
          <c:idx val="3"/>
          <c:order val="3"/>
          <c:tx>
            <c:strRef>
              <c:f>'Fixed L Subscript '!$A$54</c:f>
              <c:strCache>
                <c:ptCount val="1"/>
                <c:pt idx="0">
                  <c:v>Int'l - Outgoing</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'Fixed L Subscript '!$B$50:$D$50</c:f>
              <c:strCache>
                <c:ptCount val="3"/>
                <c:pt idx="0">
                  <c:v>Q4 2017</c:v>
                </c:pt>
                <c:pt idx="1">
                  <c:v>Q3 2018</c:v>
                </c:pt>
                <c:pt idx="2">
                  <c:v>Q4 2018</c:v>
                </c:pt>
              </c:strCache>
            </c:strRef>
          </c:cat>
          <c:val>
            <c:numRef>
              <c:f>'Fixed L Subscript '!$B$54:$D$54</c:f>
              <c:numCache>
                <c:formatCode>_-* #,##0.00_-;\-* #,##0.00_-;_-* "-"??_-;_-@_-</c:formatCode>
                <c:ptCount val="3"/>
                <c:pt idx="0">
                  <c:v>93083.845335500024</c:v>
                </c:pt>
                <c:pt idx="1">
                  <c:v>66576.143320477131</c:v>
                </c:pt>
                <c:pt idx="2">
                  <c:v>57799.631558261688</c:v>
                </c:pt>
              </c:numCache>
            </c:numRef>
          </c:val>
          <c:extLst>
            <c:ext xmlns:c16="http://schemas.microsoft.com/office/drawing/2014/chart" uri="{C3380CC4-5D6E-409C-BE32-E72D297353CC}">
              <c16:uniqueId val="{00000005-9870-4C52-8B1A-485BFFBE40C0}"/>
            </c:ext>
          </c:extLst>
        </c:ser>
        <c:ser>
          <c:idx val="4"/>
          <c:order val="4"/>
          <c:tx>
            <c:strRef>
              <c:f>'Fixed L Subscript '!$A$55</c:f>
              <c:strCache>
                <c:ptCount val="1"/>
                <c:pt idx="0">
                  <c:v>Int'l - Incoming</c:v>
                </c:pt>
              </c:strCache>
            </c:strRef>
          </c:tx>
          <c:spPr>
            <a:solidFill>
              <a:schemeClr val="accent1">
                <a:lumMod val="50000"/>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'Fixed L Subscript '!$B$50:$D$50</c:f>
              <c:strCache>
                <c:ptCount val="3"/>
                <c:pt idx="0">
                  <c:v>Q4 2017</c:v>
                </c:pt>
                <c:pt idx="1">
                  <c:v>Q3 2018</c:v>
                </c:pt>
                <c:pt idx="2">
                  <c:v>Q4 2018</c:v>
                </c:pt>
              </c:strCache>
            </c:strRef>
          </c:cat>
          <c:val>
            <c:numRef>
              <c:f>'Fixed L Subscript '!$B$55:$D$55</c:f>
              <c:numCache>
                <c:formatCode>_-* #,##0.00_-;\-* #,##0.00_-;_-* "-"??_-;_-@_-</c:formatCode>
                <c:ptCount val="3"/>
                <c:pt idx="0">
                  <c:v>616955.41002460103</c:v>
                </c:pt>
                <c:pt idx="1">
                  <c:v>233821.129603832</c:v>
                </c:pt>
                <c:pt idx="2">
                  <c:v>237116.91268144414</c:v>
                </c:pt>
              </c:numCache>
            </c:numRef>
          </c:val>
          <c:extLst>
            <c:ext xmlns:c16="http://schemas.microsoft.com/office/drawing/2014/chart" uri="{C3380CC4-5D6E-409C-BE32-E72D297353CC}">
              <c16:uniqueId val="{00000006-9870-4C52-8B1A-485BFFBE40C0}"/>
            </c:ext>
          </c:extLst>
        </c:ser>
        <c:dLbls>
          <c:showLegendKey val="0"/>
          <c:showVal val="0"/>
          <c:showCatName val="0"/>
          <c:showSerName val="0"/>
          <c:showPercent val="0"/>
          <c:showBubbleSize val="0"/>
        </c:dLbls>
        <c:gapWidth val="150"/>
        <c:shape val="box"/>
        <c:axId val="-1074365120"/>
        <c:axId val="-1074357504"/>
        <c:axId val="0"/>
      </c:bar3DChart>
      <c:catAx>
        <c:axId val="-1074365120"/>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4357504"/>
        <c:crosses val="autoZero"/>
        <c:auto val="1"/>
        <c:lblAlgn val="ctr"/>
        <c:lblOffset val="100"/>
        <c:noMultiLvlLbl val="0"/>
      </c:catAx>
      <c:valAx>
        <c:axId val="-1074357504"/>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Revenue (J$'000)</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743651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Fixed Services ARPU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'Fixed L Subscript '!$B$72</c:f>
              <c:strCache>
                <c:ptCount val="1"/>
                <c:pt idx="0">
                  <c:v>Q4 2017</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'Fixed L Subscript '!$A$73:$A$76</c:f>
              <c:strCache>
                <c:ptCount val="4"/>
                <c:pt idx="0">
                  <c:v>Fixed to Fixed </c:v>
                </c:pt>
                <c:pt idx="1">
                  <c:v>Fixed to Mobile</c:v>
                </c:pt>
                <c:pt idx="2">
                  <c:v>Int'l - Outgoing</c:v>
                </c:pt>
                <c:pt idx="3">
                  <c:v>Int'l - Incoming</c:v>
                </c:pt>
              </c:strCache>
            </c:strRef>
          </c:cat>
          <c:val>
            <c:numRef>
              <c:f>'Fixed L Subscript '!$B$73:$B$76</c:f>
              <c:numCache>
                <c:formatCode>0.00</c:formatCode>
                <c:ptCount val="4"/>
                <c:pt idx="0">
                  <c:v>418.5658538180831</c:v>
                </c:pt>
                <c:pt idx="1">
                  <c:v>510.9740696277799</c:v>
                </c:pt>
                <c:pt idx="2">
                  <c:v>313.38618617730441</c:v>
                </c:pt>
                <c:pt idx="3" formatCode="_-* #,##0.00_-;\-* #,##0.00_-;_-* &quot;-&quot;??_-;_-@_-">
                  <c:v>2077.1091083763745</c:v>
                </c:pt>
              </c:numCache>
            </c:numRef>
          </c:val>
          <c:extLst>
            <c:ext xmlns:c16="http://schemas.microsoft.com/office/drawing/2014/chart" uri="{C3380CC4-5D6E-409C-BE32-E72D297353CC}">
              <c16:uniqueId val="{00000000-63A9-4DEC-AD59-02522324DFC6}"/>
            </c:ext>
          </c:extLst>
        </c:ser>
        <c:ser>
          <c:idx val="1"/>
          <c:order val="1"/>
          <c:tx>
            <c:strRef>
              <c:f>'Fixed L Subscript '!$C$72</c:f>
              <c:strCache>
                <c:ptCount val="1"/>
                <c:pt idx="0">
                  <c:v>Q3 2018</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'Fixed L Subscript '!$A$73:$A$76</c:f>
              <c:strCache>
                <c:ptCount val="4"/>
                <c:pt idx="0">
                  <c:v>Fixed to Fixed </c:v>
                </c:pt>
                <c:pt idx="1">
                  <c:v>Fixed to Mobile</c:v>
                </c:pt>
                <c:pt idx="2">
                  <c:v>Int'l - Outgoing</c:v>
                </c:pt>
                <c:pt idx="3">
                  <c:v>Int'l - Incoming</c:v>
                </c:pt>
              </c:strCache>
            </c:strRef>
          </c:cat>
          <c:val>
            <c:numRef>
              <c:f>'Fixed L Subscript '!$C$73:$C$76</c:f>
              <c:numCache>
                <c:formatCode>0.00</c:formatCode>
                <c:ptCount val="4"/>
                <c:pt idx="0">
                  <c:v>273.67465008761764</c:v>
                </c:pt>
                <c:pt idx="1">
                  <c:v>551.21218180424296</c:v>
                </c:pt>
                <c:pt idx="2">
                  <c:v>182.88491241309751</c:v>
                </c:pt>
                <c:pt idx="3" formatCode="_-* #,##0.00_-;\-* #,##0.00_-;_-* &quot;-&quot;??_-;_-@_-">
                  <c:v>642.30750949455683</c:v>
                </c:pt>
              </c:numCache>
            </c:numRef>
          </c:val>
          <c:extLst>
            <c:ext xmlns:c16="http://schemas.microsoft.com/office/drawing/2014/chart" uri="{C3380CC4-5D6E-409C-BE32-E72D297353CC}">
              <c16:uniqueId val="{00000001-63A9-4DEC-AD59-02522324DFC6}"/>
            </c:ext>
          </c:extLst>
        </c:ser>
        <c:ser>
          <c:idx val="2"/>
          <c:order val="2"/>
          <c:tx>
            <c:strRef>
              <c:f>'Fixed L Subscript '!$D$72</c:f>
              <c:strCache>
                <c:ptCount val="1"/>
                <c:pt idx="0">
                  <c:v>Q4 2018</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'Fixed L Subscript '!$A$73:$A$76</c:f>
              <c:strCache>
                <c:ptCount val="4"/>
                <c:pt idx="0">
                  <c:v>Fixed to Fixed </c:v>
                </c:pt>
                <c:pt idx="1">
                  <c:v>Fixed to Mobile</c:v>
                </c:pt>
                <c:pt idx="2">
                  <c:v>Int'l - Outgoing</c:v>
                </c:pt>
                <c:pt idx="3">
                  <c:v>Int'l - Incoming</c:v>
                </c:pt>
              </c:strCache>
            </c:strRef>
          </c:cat>
          <c:val>
            <c:numRef>
              <c:f>'Fixed L Subscript '!$D$73:$D$76</c:f>
              <c:numCache>
                <c:formatCode>0.00</c:formatCode>
                <c:ptCount val="4"/>
                <c:pt idx="0">
                  <c:v>284.2663274213665</c:v>
                </c:pt>
                <c:pt idx="1">
                  <c:v>497.48448655392502</c:v>
                </c:pt>
                <c:pt idx="2">
                  <c:v>158.86875806239811</c:v>
                </c:pt>
                <c:pt idx="3" formatCode="_-* #,##0.00_-;\-* #,##0.00_-;_-* &quot;-&quot;??_-;_-@_-">
                  <c:v>651.74237997208536</c:v>
                </c:pt>
              </c:numCache>
            </c:numRef>
          </c:val>
          <c:extLst>
            <c:ext xmlns:c16="http://schemas.microsoft.com/office/drawing/2014/chart" uri="{C3380CC4-5D6E-409C-BE32-E72D297353CC}">
              <c16:uniqueId val="{00000002-63A9-4DEC-AD59-02522324DFC6}"/>
            </c:ext>
          </c:extLst>
        </c:ser>
        <c:dLbls>
          <c:showLegendKey val="0"/>
          <c:showVal val="0"/>
          <c:showCatName val="0"/>
          <c:showSerName val="0"/>
          <c:showPercent val="0"/>
          <c:showBubbleSize val="0"/>
        </c:dLbls>
        <c:gapWidth val="150"/>
        <c:shape val="cylinder"/>
        <c:axId val="-1074370016"/>
        <c:axId val="-1074358048"/>
        <c:axId val="0"/>
      </c:bar3DChart>
      <c:catAx>
        <c:axId val="-1074370016"/>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4358048"/>
        <c:crosses val="autoZero"/>
        <c:auto val="1"/>
        <c:lblAlgn val="ctr"/>
        <c:lblOffset val="100"/>
        <c:noMultiLvlLbl val="0"/>
      </c:catAx>
      <c:valAx>
        <c:axId val="-1074358048"/>
        <c:scaling>
          <c:orientation val="minMax"/>
        </c:scaling>
        <c:delete val="0"/>
        <c:axPos val="b"/>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743700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Mobile Services Subscriptions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Mobile!$A$4</c:f>
              <c:strCache>
                <c:ptCount val="1"/>
                <c:pt idx="0">
                  <c:v>Total Subscriptions</c:v>
                </c:pt>
              </c:strCache>
            </c:strRef>
          </c:tx>
          <c:spPr>
            <a:ln w="31750" cap="rnd">
              <a:solidFill>
                <a:schemeClr val="accent1"/>
              </a:solidFill>
              <a:round/>
            </a:ln>
            <a:effectLst/>
          </c:spPr>
          <c:marker>
            <c:symbol val="circle"/>
            <c:size val="17"/>
            <c:spPr>
              <a:solidFill>
                <a:schemeClr val="accent1"/>
              </a:solidFill>
              <a:ln>
                <a:noFill/>
              </a:ln>
              <a:effectLst/>
            </c:spPr>
          </c:marker>
          <c:cat>
            <c:strRef>
              <c:f>Mobile!$B$3:$D$3</c:f>
              <c:strCache>
                <c:ptCount val="3"/>
                <c:pt idx="0">
                  <c:v>Q4 2017</c:v>
                </c:pt>
                <c:pt idx="1">
                  <c:v>Q3 2018</c:v>
                </c:pt>
                <c:pt idx="2">
                  <c:v>Q4  2018</c:v>
                </c:pt>
              </c:strCache>
            </c:strRef>
          </c:cat>
          <c:val>
            <c:numRef>
              <c:f>Mobile!$B$4:$D$4</c:f>
              <c:numCache>
                <c:formatCode>_-* #,##0.00_-;\-* #,##0.00_-;_-* "-"??_-;_-@_-</c:formatCode>
                <c:ptCount val="3"/>
                <c:pt idx="0">
                  <c:v>3091.2220000000002</c:v>
                </c:pt>
                <c:pt idx="1">
                  <c:v>3183.7412549999999</c:v>
                </c:pt>
                <c:pt idx="2">
                  <c:v>2964.9739999999997</c:v>
                </c:pt>
              </c:numCache>
            </c:numRef>
          </c:val>
          <c:smooth val="0"/>
          <c:extLst>
            <c:ext xmlns:c16="http://schemas.microsoft.com/office/drawing/2014/chart" uri="{C3380CC4-5D6E-409C-BE32-E72D297353CC}">
              <c16:uniqueId val="{00000000-98C5-4B3D-BD92-58A2C8AB902F}"/>
            </c:ext>
          </c:extLst>
        </c:ser>
        <c:ser>
          <c:idx val="1"/>
          <c:order val="1"/>
          <c:tx>
            <c:strRef>
              <c:f>Mobile!$A$5</c:f>
              <c:strCache>
                <c:ptCount val="1"/>
                <c:pt idx="0">
                  <c:v>Postpaid</c:v>
                </c:pt>
              </c:strCache>
            </c:strRef>
          </c:tx>
          <c:spPr>
            <a:ln w="31750" cap="rnd">
              <a:solidFill>
                <a:schemeClr val="accent2"/>
              </a:solidFill>
              <a:round/>
            </a:ln>
            <a:effectLst/>
          </c:spPr>
          <c:marker>
            <c:symbol val="circle"/>
            <c:size val="17"/>
            <c:spPr>
              <a:solidFill>
                <a:schemeClr val="accent2"/>
              </a:solidFill>
              <a:ln>
                <a:noFill/>
              </a:ln>
              <a:effectLst/>
            </c:spPr>
          </c:marker>
          <c:cat>
            <c:strRef>
              <c:f>Mobile!$B$3:$D$3</c:f>
              <c:strCache>
                <c:ptCount val="3"/>
                <c:pt idx="0">
                  <c:v>Q4 2017</c:v>
                </c:pt>
                <c:pt idx="1">
                  <c:v>Q3 2018</c:v>
                </c:pt>
                <c:pt idx="2">
                  <c:v>Q4  2018</c:v>
                </c:pt>
              </c:strCache>
            </c:strRef>
          </c:cat>
          <c:val>
            <c:numRef>
              <c:f>Mobile!$B$5:$D$5</c:f>
              <c:numCache>
                <c:formatCode>0.00</c:formatCode>
                <c:ptCount val="3"/>
                <c:pt idx="0">
                  <c:v>187.05399999999997</c:v>
                </c:pt>
                <c:pt idx="1">
                  <c:v>200.68299999999999</c:v>
                </c:pt>
                <c:pt idx="2">
                  <c:v>201.095</c:v>
                </c:pt>
              </c:numCache>
            </c:numRef>
          </c:val>
          <c:smooth val="0"/>
          <c:extLst>
            <c:ext xmlns:c16="http://schemas.microsoft.com/office/drawing/2014/chart" uri="{C3380CC4-5D6E-409C-BE32-E72D297353CC}">
              <c16:uniqueId val="{00000001-98C5-4B3D-BD92-58A2C8AB902F}"/>
            </c:ext>
          </c:extLst>
        </c:ser>
        <c:ser>
          <c:idx val="2"/>
          <c:order val="2"/>
          <c:tx>
            <c:strRef>
              <c:f>Mobile!$A$6</c:f>
              <c:strCache>
                <c:ptCount val="1"/>
                <c:pt idx="0">
                  <c:v>Prepaid</c:v>
                </c:pt>
              </c:strCache>
            </c:strRef>
          </c:tx>
          <c:spPr>
            <a:ln w="31750" cap="rnd">
              <a:solidFill>
                <a:schemeClr val="accent6"/>
              </a:solidFill>
              <a:round/>
            </a:ln>
            <a:effectLst/>
          </c:spPr>
          <c:marker>
            <c:symbol val="circle"/>
            <c:size val="17"/>
            <c:spPr>
              <a:solidFill>
                <a:schemeClr val="accent6"/>
              </a:solidFill>
              <a:ln>
                <a:noFill/>
              </a:ln>
              <a:effectLst/>
            </c:spPr>
          </c:marker>
          <c:cat>
            <c:strRef>
              <c:f>Mobile!$B$3:$D$3</c:f>
              <c:strCache>
                <c:ptCount val="3"/>
                <c:pt idx="0">
                  <c:v>Q4 2017</c:v>
                </c:pt>
                <c:pt idx="1">
                  <c:v>Q3 2018</c:v>
                </c:pt>
                <c:pt idx="2">
                  <c:v>Q4  2018</c:v>
                </c:pt>
              </c:strCache>
            </c:strRef>
          </c:cat>
          <c:val>
            <c:numRef>
              <c:f>Mobile!$B$6:$D$6</c:f>
              <c:numCache>
                <c:formatCode>_-* #,##0.00_-;\-* #,##0.00_-;_-* "-"??_-;_-@_-</c:formatCode>
                <c:ptCount val="3"/>
                <c:pt idx="0">
                  <c:v>2904.1680000000001</c:v>
                </c:pt>
                <c:pt idx="1">
                  <c:v>2983.0582549999999</c:v>
                </c:pt>
                <c:pt idx="2">
                  <c:v>2763.8789999999999</c:v>
                </c:pt>
              </c:numCache>
            </c:numRef>
          </c:val>
          <c:smooth val="0"/>
          <c:extLst>
            <c:ext xmlns:c16="http://schemas.microsoft.com/office/drawing/2014/chart" uri="{C3380CC4-5D6E-409C-BE32-E72D297353CC}">
              <c16:uniqueId val="{00000002-98C5-4B3D-BD92-58A2C8AB902F}"/>
            </c:ext>
          </c:extLst>
        </c:ser>
        <c:dLbls>
          <c:showLegendKey val="0"/>
          <c:showVal val="0"/>
          <c:showCatName val="0"/>
          <c:showSerName val="0"/>
          <c:showPercent val="0"/>
          <c:showBubbleSize val="0"/>
        </c:dLbls>
        <c:marker val="1"/>
        <c:smooth val="0"/>
        <c:axId val="-1074361856"/>
        <c:axId val="-1074361312"/>
      </c:lineChart>
      <c:catAx>
        <c:axId val="-107436185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4361312"/>
        <c:crosses val="autoZero"/>
        <c:auto val="1"/>
        <c:lblAlgn val="ctr"/>
        <c:lblOffset val="100"/>
        <c:noMultiLvlLbl val="0"/>
      </c:catAx>
      <c:valAx>
        <c:axId val="-10743613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Subscriptions ('000)</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743618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Mobile Minutes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Mobile!$B$26</c:f>
              <c:strCache>
                <c:ptCount val="1"/>
                <c:pt idx="0">
                  <c:v>Q4 2017</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Mobile!$A$27:$A$33</c:f>
              <c:strCache>
                <c:ptCount val="7"/>
                <c:pt idx="0">
                  <c:v>Calls to fixed services</c:v>
                </c:pt>
                <c:pt idx="1">
                  <c:v>On-Net Calls</c:v>
                </c:pt>
                <c:pt idx="2">
                  <c:v>Off-Net Calls</c:v>
                </c:pt>
                <c:pt idx="3">
                  <c:v>Int'l Calls</c:v>
                </c:pt>
                <c:pt idx="4">
                  <c:v>Int'l Calls - Outgoing</c:v>
                </c:pt>
                <c:pt idx="5">
                  <c:v>Int'l Calls - Incoming</c:v>
                </c:pt>
                <c:pt idx="6">
                  <c:v>SMS and other Mobile data Traffic</c:v>
                </c:pt>
              </c:strCache>
            </c:strRef>
          </c:cat>
          <c:val>
            <c:numRef>
              <c:f>Mobile!$B$27:$B$33</c:f>
              <c:numCache>
                <c:formatCode>_-* #,##0.00_-;\-* #,##0.00_-;_-* "-"??_-;_-@_-</c:formatCode>
                <c:ptCount val="7"/>
                <c:pt idx="0">
                  <c:v>95594.029138333179</c:v>
                </c:pt>
                <c:pt idx="1">
                  <c:v>692081.78520000004</c:v>
                </c:pt>
                <c:pt idx="2">
                  <c:v>478843.71197333309</c:v>
                </c:pt>
                <c:pt idx="3">
                  <c:v>300925.95388666668</c:v>
                </c:pt>
                <c:pt idx="4">
                  <c:v>237743.37133333334</c:v>
                </c:pt>
                <c:pt idx="5">
                  <c:v>63182.582553333312</c:v>
                </c:pt>
                <c:pt idx="6">
                  <c:v>209736.27599999998</c:v>
                </c:pt>
              </c:numCache>
            </c:numRef>
          </c:val>
          <c:extLst>
            <c:ext xmlns:c16="http://schemas.microsoft.com/office/drawing/2014/chart" uri="{C3380CC4-5D6E-409C-BE32-E72D297353CC}">
              <c16:uniqueId val="{00000000-2342-4498-BE08-F01F3E8FC53C}"/>
            </c:ext>
          </c:extLst>
        </c:ser>
        <c:ser>
          <c:idx val="1"/>
          <c:order val="1"/>
          <c:tx>
            <c:strRef>
              <c:f>Mobile!$C$26</c:f>
              <c:strCache>
                <c:ptCount val="1"/>
                <c:pt idx="0">
                  <c:v>Q3 2018</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Mobile!$A$27:$A$33</c:f>
              <c:strCache>
                <c:ptCount val="7"/>
                <c:pt idx="0">
                  <c:v>Calls to fixed services</c:v>
                </c:pt>
                <c:pt idx="1">
                  <c:v>On-Net Calls</c:v>
                </c:pt>
                <c:pt idx="2">
                  <c:v>Off-Net Calls</c:v>
                </c:pt>
                <c:pt idx="3">
                  <c:v>Int'l Calls</c:v>
                </c:pt>
                <c:pt idx="4">
                  <c:v>Int'l Calls - Outgoing</c:v>
                </c:pt>
                <c:pt idx="5">
                  <c:v>Int'l Calls - Incoming</c:v>
                </c:pt>
                <c:pt idx="6">
                  <c:v>SMS and other Mobile data Traffic</c:v>
                </c:pt>
              </c:strCache>
            </c:strRef>
          </c:cat>
          <c:val>
            <c:numRef>
              <c:f>Mobile!$C$27:$C$33</c:f>
              <c:numCache>
                <c:formatCode>_-* #,##0.00_-;\-* #,##0.00_-;_-* "-"??_-;_-@_-</c:formatCode>
                <c:ptCount val="7"/>
                <c:pt idx="0">
                  <c:v>86067.288389999972</c:v>
                </c:pt>
                <c:pt idx="1">
                  <c:v>840355.34363333334</c:v>
                </c:pt>
                <c:pt idx="2">
                  <c:v>393768.45340999996</c:v>
                </c:pt>
                <c:pt idx="3">
                  <c:v>253433.0287346667</c:v>
                </c:pt>
                <c:pt idx="4">
                  <c:v>206282.67315000005</c:v>
                </c:pt>
                <c:pt idx="5">
                  <c:v>47150.355584666664</c:v>
                </c:pt>
                <c:pt idx="6">
                  <c:v>122168.88400000001</c:v>
                </c:pt>
              </c:numCache>
            </c:numRef>
          </c:val>
          <c:extLst>
            <c:ext xmlns:c16="http://schemas.microsoft.com/office/drawing/2014/chart" uri="{C3380CC4-5D6E-409C-BE32-E72D297353CC}">
              <c16:uniqueId val="{00000001-2342-4498-BE08-F01F3E8FC53C}"/>
            </c:ext>
          </c:extLst>
        </c:ser>
        <c:ser>
          <c:idx val="2"/>
          <c:order val="2"/>
          <c:tx>
            <c:strRef>
              <c:f>Mobile!$D$26</c:f>
              <c:strCache>
                <c:ptCount val="1"/>
                <c:pt idx="0">
                  <c:v>Q4  2018</c:v>
                </c:pt>
              </c:strCache>
            </c:strRef>
          </c:tx>
          <c:spPr>
            <a:solidFill>
              <a:schemeClr val="accent4"/>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Mobile!$A$27:$A$33</c:f>
              <c:strCache>
                <c:ptCount val="7"/>
                <c:pt idx="0">
                  <c:v>Calls to fixed services</c:v>
                </c:pt>
                <c:pt idx="1">
                  <c:v>On-Net Calls</c:v>
                </c:pt>
                <c:pt idx="2">
                  <c:v>Off-Net Calls</c:v>
                </c:pt>
                <c:pt idx="3">
                  <c:v>Int'l Calls</c:v>
                </c:pt>
                <c:pt idx="4">
                  <c:v>Int'l Calls - Outgoing</c:v>
                </c:pt>
                <c:pt idx="5">
                  <c:v>Int'l Calls - Incoming</c:v>
                </c:pt>
                <c:pt idx="6">
                  <c:v>SMS and other Mobile data Traffic</c:v>
                </c:pt>
              </c:strCache>
            </c:strRef>
          </c:cat>
          <c:val>
            <c:numRef>
              <c:f>Mobile!$D$27:$D$33</c:f>
              <c:numCache>
                <c:formatCode>_-* #,##0.00_-;\-* #,##0.00_-;_-* "-"??_-;_-@_-</c:formatCode>
                <c:ptCount val="7"/>
                <c:pt idx="0">
                  <c:v>87955.266643333336</c:v>
                </c:pt>
                <c:pt idx="1">
                  <c:v>914632.7140833335</c:v>
                </c:pt>
                <c:pt idx="2">
                  <c:v>410231.21755333373</c:v>
                </c:pt>
                <c:pt idx="3">
                  <c:v>233155.91577299999</c:v>
                </c:pt>
                <c:pt idx="4">
                  <c:v>189730.01574999999</c:v>
                </c:pt>
                <c:pt idx="5">
                  <c:v>43425.900023000002</c:v>
                </c:pt>
                <c:pt idx="6">
                  <c:v>120759.14199999999</c:v>
                </c:pt>
              </c:numCache>
            </c:numRef>
          </c:val>
          <c:extLst>
            <c:ext xmlns:c16="http://schemas.microsoft.com/office/drawing/2014/chart" uri="{C3380CC4-5D6E-409C-BE32-E72D297353CC}">
              <c16:uniqueId val="{00000002-2342-4498-BE08-F01F3E8FC53C}"/>
            </c:ext>
          </c:extLst>
        </c:ser>
        <c:dLbls>
          <c:showLegendKey val="0"/>
          <c:showVal val="0"/>
          <c:showCatName val="0"/>
          <c:showSerName val="0"/>
          <c:showPercent val="0"/>
          <c:showBubbleSize val="0"/>
        </c:dLbls>
        <c:gapWidth val="150"/>
        <c:shape val="box"/>
        <c:axId val="-1074368384"/>
        <c:axId val="-1074359136"/>
        <c:axId val="0"/>
      </c:bar3DChart>
      <c:catAx>
        <c:axId val="-1074368384"/>
        <c:scaling>
          <c:orientation val="minMax"/>
        </c:scaling>
        <c:delete val="1"/>
        <c:axPos val="b"/>
        <c:numFmt formatCode="General" sourceLinked="0"/>
        <c:majorTickMark val="none"/>
        <c:minorTickMark val="none"/>
        <c:tickLblPos val="nextTo"/>
        <c:crossAx val="-1074359136"/>
        <c:crosses val="autoZero"/>
        <c:auto val="1"/>
        <c:lblAlgn val="ctr"/>
        <c:lblOffset val="100"/>
        <c:noMultiLvlLbl val="0"/>
      </c:catAx>
      <c:valAx>
        <c:axId val="-1074359136"/>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Minutes ('000)</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743683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Mobile Services Revenue Distribution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Mobile!$A$47</c:f>
              <c:strCache>
                <c:ptCount val="1"/>
                <c:pt idx="0">
                  <c:v>Calls to fixed services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Mobile!$B$46:$D$46</c:f>
              <c:strCache>
                <c:ptCount val="3"/>
                <c:pt idx="0">
                  <c:v>Q4 2017</c:v>
                </c:pt>
                <c:pt idx="1">
                  <c:v>Q3 2018</c:v>
                </c:pt>
                <c:pt idx="2">
                  <c:v>Q4  2018</c:v>
                </c:pt>
              </c:strCache>
            </c:strRef>
          </c:cat>
          <c:val>
            <c:numRef>
              <c:f>Mobile!$B$47:$D$47</c:f>
              <c:numCache>
                <c:formatCode>_-* #,##0.00_-;\-* #,##0.00_-;_-* "-"??_-;_-@_-</c:formatCode>
                <c:ptCount val="3"/>
                <c:pt idx="0">
                  <c:v>162465.73526927183</c:v>
                </c:pt>
                <c:pt idx="1">
                  <c:v>153351.84757365106</c:v>
                </c:pt>
                <c:pt idx="2">
                  <c:v>180750.32370922179</c:v>
                </c:pt>
              </c:numCache>
            </c:numRef>
          </c:val>
          <c:extLst>
            <c:ext xmlns:c16="http://schemas.microsoft.com/office/drawing/2014/chart" uri="{C3380CC4-5D6E-409C-BE32-E72D297353CC}">
              <c16:uniqueId val="{00000000-BFE1-4897-9842-F2D926DA87CB}"/>
            </c:ext>
          </c:extLst>
        </c:ser>
        <c:ser>
          <c:idx val="1"/>
          <c:order val="1"/>
          <c:tx>
            <c:strRef>
              <c:f>Mobile!$A$48</c:f>
              <c:strCache>
                <c:ptCount val="1"/>
                <c:pt idx="0">
                  <c:v>On-Net Calls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Mobile!$B$46:$D$46</c:f>
              <c:strCache>
                <c:ptCount val="3"/>
                <c:pt idx="0">
                  <c:v>Q4 2017</c:v>
                </c:pt>
                <c:pt idx="1">
                  <c:v>Q3 2018</c:v>
                </c:pt>
                <c:pt idx="2">
                  <c:v>Q4  2018</c:v>
                </c:pt>
              </c:strCache>
            </c:strRef>
          </c:cat>
          <c:val>
            <c:numRef>
              <c:f>Mobile!$B$48:$D$48</c:f>
              <c:numCache>
                <c:formatCode>_-* #,##0.00_-;\-* #,##0.00_-;_-* "-"??_-;_-@_-</c:formatCode>
                <c:ptCount val="3"/>
                <c:pt idx="0">
                  <c:v>3047087.3414388164</c:v>
                </c:pt>
                <c:pt idx="1">
                  <c:v>2854224.3498877911</c:v>
                </c:pt>
                <c:pt idx="2">
                  <c:v>3116020.3332240675</c:v>
                </c:pt>
              </c:numCache>
            </c:numRef>
          </c:val>
          <c:extLst>
            <c:ext xmlns:c16="http://schemas.microsoft.com/office/drawing/2014/chart" uri="{C3380CC4-5D6E-409C-BE32-E72D297353CC}">
              <c16:uniqueId val="{00000001-BFE1-4897-9842-F2D926DA87CB}"/>
            </c:ext>
          </c:extLst>
        </c:ser>
        <c:ser>
          <c:idx val="2"/>
          <c:order val="2"/>
          <c:tx>
            <c:strRef>
              <c:f>Mobile!$A$49</c:f>
              <c:strCache>
                <c:ptCount val="1"/>
                <c:pt idx="0">
                  <c:v>Off-Net Calls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Mobile!$B$46:$D$46</c:f>
              <c:strCache>
                <c:ptCount val="3"/>
                <c:pt idx="0">
                  <c:v>Q4 2017</c:v>
                </c:pt>
                <c:pt idx="1">
                  <c:v>Q3 2018</c:v>
                </c:pt>
                <c:pt idx="2">
                  <c:v>Q4  2018</c:v>
                </c:pt>
              </c:strCache>
            </c:strRef>
          </c:cat>
          <c:val>
            <c:numRef>
              <c:f>Mobile!$B$49:$D$49</c:f>
              <c:numCache>
                <c:formatCode>_-* #,##0.00_-;\-* #,##0.00_-;_-* "-"??_-;_-@_-</c:formatCode>
                <c:ptCount val="3"/>
                <c:pt idx="0">
                  <c:v>1753331.2703216188</c:v>
                </c:pt>
                <c:pt idx="1">
                  <c:v>1434273.9238540623</c:v>
                </c:pt>
                <c:pt idx="2">
                  <c:v>1685163.7158333084</c:v>
                </c:pt>
              </c:numCache>
            </c:numRef>
          </c:val>
          <c:extLst>
            <c:ext xmlns:c16="http://schemas.microsoft.com/office/drawing/2014/chart" uri="{C3380CC4-5D6E-409C-BE32-E72D297353CC}">
              <c16:uniqueId val="{00000002-BFE1-4897-9842-F2D926DA87CB}"/>
            </c:ext>
          </c:extLst>
        </c:ser>
        <c:ser>
          <c:idx val="3"/>
          <c:order val="3"/>
          <c:tx>
            <c:strRef>
              <c:f>Mobile!$A$50</c:f>
              <c:strCache>
                <c:ptCount val="1"/>
                <c:pt idx="0">
                  <c:v>Int'l Calls - Outgoing</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Mobile!$B$46:$D$46</c:f>
              <c:strCache>
                <c:ptCount val="3"/>
                <c:pt idx="0">
                  <c:v>Q4 2017</c:v>
                </c:pt>
                <c:pt idx="1">
                  <c:v>Q3 2018</c:v>
                </c:pt>
                <c:pt idx="2">
                  <c:v>Q4  2018</c:v>
                </c:pt>
              </c:strCache>
            </c:strRef>
          </c:cat>
          <c:val>
            <c:numRef>
              <c:f>Mobile!$B$50:$D$50</c:f>
              <c:numCache>
                <c:formatCode>_-* #,##0.00_-;\-* #,##0.00_-;_-* "-"??_-;_-@_-</c:formatCode>
                <c:ptCount val="3"/>
                <c:pt idx="0">
                  <c:v>497266.49239999999</c:v>
                </c:pt>
                <c:pt idx="1">
                  <c:v>536032.5338199999</c:v>
                </c:pt>
                <c:pt idx="2">
                  <c:v>662787.94601999992</c:v>
                </c:pt>
              </c:numCache>
            </c:numRef>
          </c:val>
          <c:extLst>
            <c:ext xmlns:c16="http://schemas.microsoft.com/office/drawing/2014/chart" uri="{C3380CC4-5D6E-409C-BE32-E72D297353CC}">
              <c16:uniqueId val="{00000003-BFE1-4897-9842-F2D926DA87CB}"/>
            </c:ext>
          </c:extLst>
        </c:ser>
        <c:ser>
          <c:idx val="4"/>
          <c:order val="4"/>
          <c:tx>
            <c:strRef>
              <c:f>Mobile!$A$51</c:f>
              <c:strCache>
                <c:ptCount val="1"/>
                <c:pt idx="0">
                  <c:v>Int'l Calls - Incoming</c:v>
                </c:pt>
              </c:strCache>
            </c:strRef>
          </c:tx>
          <c:spPr>
            <a:solidFill>
              <a:schemeClr val="accent5">
                <a:lumMod val="75000"/>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Mobile!$B$46:$D$46</c:f>
              <c:strCache>
                <c:ptCount val="3"/>
                <c:pt idx="0">
                  <c:v>Q4 2017</c:v>
                </c:pt>
                <c:pt idx="1">
                  <c:v>Q3 2018</c:v>
                </c:pt>
                <c:pt idx="2">
                  <c:v>Q4  2018</c:v>
                </c:pt>
              </c:strCache>
            </c:strRef>
          </c:cat>
          <c:val>
            <c:numRef>
              <c:f>Mobile!$B$51:$D$51</c:f>
              <c:numCache>
                <c:formatCode>_-* #,##0.00_-;\-* #,##0.00_-;_-* "-"??_-;_-@_-</c:formatCode>
                <c:ptCount val="3"/>
                <c:pt idx="0">
                  <c:v>2373983.6824320829</c:v>
                </c:pt>
                <c:pt idx="1">
                  <c:v>1631398.646284844</c:v>
                </c:pt>
                <c:pt idx="2">
                  <c:v>1377341.989359838</c:v>
                </c:pt>
              </c:numCache>
            </c:numRef>
          </c:val>
          <c:extLst>
            <c:ext xmlns:c16="http://schemas.microsoft.com/office/drawing/2014/chart" uri="{C3380CC4-5D6E-409C-BE32-E72D297353CC}">
              <c16:uniqueId val="{00000004-BFE1-4897-9842-F2D926DA87CB}"/>
            </c:ext>
          </c:extLst>
        </c:ser>
        <c:ser>
          <c:idx val="5"/>
          <c:order val="5"/>
          <c:tx>
            <c:strRef>
              <c:f>Mobile!$A$52</c:f>
              <c:strCache>
                <c:ptCount val="1"/>
                <c:pt idx="0">
                  <c:v>SMS and other Mobile Data Traffic</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Mobile!$B$46:$D$46</c:f>
              <c:strCache>
                <c:ptCount val="3"/>
                <c:pt idx="0">
                  <c:v>Q4 2017</c:v>
                </c:pt>
                <c:pt idx="1">
                  <c:v>Q3 2018</c:v>
                </c:pt>
                <c:pt idx="2">
                  <c:v>Q4  2018</c:v>
                </c:pt>
              </c:strCache>
            </c:strRef>
          </c:cat>
          <c:val>
            <c:numRef>
              <c:f>Mobile!$B$52:$D$52</c:f>
              <c:numCache>
                <c:formatCode>_-* #,##0.00_-;\-* #,##0.00_-;_-* "-"??_-;_-@_-</c:formatCode>
                <c:ptCount val="3"/>
                <c:pt idx="0">
                  <c:v>336242.0861199873</c:v>
                </c:pt>
                <c:pt idx="1">
                  <c:v>270479.07596367481</c:v>
                </c:pt>
                <c:pt idx="2">
                  <c:v>245606.61908759995</c:v>
                </c:pt>
              </c:numCache>
            </c:numRef>
          </c:val>
          <c:extLst>
            <c:ext xmlns:c16="http://schemas.microsoft.com/office/drawing/2014/chart" uri="{C3380CC4-5D6E-409C-BE32-E72D297353CC}">
              <c16:uniqueId val="{00000005-BFE1-4897-9842-F2D926DA87CB}"/>
            </c:ext>
          </c:extLst>
        </c:ser>
        <c:dLbls>
          <c:showLegendKey val="0"/>
          <c:showVal val="0"/>
          <c:showCatName val="0"/>
          <c:showSerName val="0"/>
          <c:showPercent val="0"/>
          <c:showBubbleSize val="0"/>
        </c:dLbls>
        <c:gapWidth val="150"/>
        <c:shape val="box"/>
        <c:axId val="-1074355872"/>
        <c:axId val="-1074366208"/>
        <c:axId val="0"/>
      </c:bar3DChart>
      <c:catAx>
        <c:axId val="-107435587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4366208"/>
        <c:crosses val="autoZero"/>
        <c:auto val="1"/>
        <c:lblAlgn val="ctr"/>
        <c:lblOffset val="100"/>
        <c:noMultiLvlLbl val="0"/>
      </c:catAx>
      <c:valAx>
        <c:axId val="-10743662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Revenue (J$'000)</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743558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Mobile Services ARPU</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Mobile!$A$72</c:f>
              <c:strCache>
                <c:ptCount val="1"/>
                <c:pt idx="0">
                  <c:v>Calls to fixed services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Mobile!$B$71:$D$71</c:f>
              <c:strCache>
                <c:ptCount val="3"/>
                <c:pt idx="0">
                  <c:v>Q4 2017</c:v>
                </c:pt>
                <c:pt idx="1">
                  <c:v>Q3 2018</c:v>
                </c:pt>
                <c:pt idx="2">
                  <c:v>Q4  2018</c:v>
                </c:pt>
              </c:strCache>
            </c:strRef>
          </c:cat>
          <c:val>
            <c:numRef>
              <c:f>Mobile!$B$72:$D$72</c:f>
              <c:numCache>
                <c:formatCode>0.00</c:formatCode>
                <c:ptCount val="3"/>
                <c:pt idx="0">
                  <c:v>52.557123127770126</c:v>
                </c:pt>
                <c:pt idx="1">
                  <c:v>48.16718297468902</c:v>
                </c:pt>
                <c:pt idx="2">
                  <c:v>60.961857914849105</c:v>
                </c:pt>
              </c:numCache>
            </c:numRef>
          </c:val>
          <c:extLst>
            <c:ext xmlns:c16="http://schemas.microsoft.com/office/drawing/2014/chart" uri="{C3380CC4-5D6E-409C-BE32-E72D297353CC}">
              <c16:uniqueId val="{00000000-A872-4BA4-A42D-68BFF1205B65}"/>
            </c:ext>
          </c:extLst>
        </c:ser>
        <c:ser>
          <c:idx val="1"/>
          <c:order val="1"/>
          <c:tx>
            <c:strRef>
              <c:f>Mobile!$A$73</c:f>
              <c:strCache>
                <c:ptCount val="1"/>
                <c:pt idx="0">
                  <c:v>On-Net Calls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Mobile!$B$71:$D$71</c:f>
              <c:strCache>
                <c:ptCount val="3"/>
                <c:pt idx="0">
                  <c:v>Q4 2017</c:v>
                </c:pt>
                <c:pt idx="1">
                  <c:v>Q3 2018</c:v>
                </c:pt>
                <c:pt idx="2">
                  <c:v>Q4  2018</c:v>
                </c:pt>
              </c:strCache>
            </c:strRef>
          </c:cat>
          <c:val>
            <c:numRef>
              <c:f>Mobile!$B$73:$D$73</c:f>
              <c:numCache>
                <c:formatCode>_-* #,##0.00_-;\-* #,##0.00_-;_-* "-"??_-;_-@_-</c:formatCode>
                <c:ptCount val="3"/>
                <c:pt idx="0">
                  <c:v>985.72258525554491</c:v>
                </c:pt>
                <c:pt idx="1">
                  <c:v>896.50009887119143</c:v>
                </c:pt>
                <c:pt idx="2">
                  <c:v>1050.9435607948224</c:v>
                </c:pt>
              </c:numCache>
            </c:numRef>
          </c:val>
          <c:extLst>
            <c:ext xmlns:c16="http://schemas.microsoft.com/office/drawing/2014/chart" uri="{C3380CC4-5D6E-409C-BE32-E72D297353CC}">
              <c16:uniqueId val="{00000001-A872-4BA4-A42D-68BFF1205B65}"/>
            </c:ext>
          </c:extLst>
        </c:ser>
        <c:ser>
          <c:idx val="2"/>
          <c:order val="2"/>
          <c:tx>
            <c:strRef>
              <c:f>Mobile!$A$74</c:f>
              <c:strCache>
                <c:ptCount val="1"/>
                <c:pt idx="0">
                  <c:v>Off-Net Calls</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cat>
            <c:strRef>
              <c:f>Mobile!$B$71:$D$71</c:f>
              <c:strCache>
                <c:ptCount val="3"/>
                <c:pt idx="0">
                  <c:v>Q4 2017</c:v>
                </c:pt>
                <c:pt idx="1">
                  <c:v>Q3 2018</c:v>
                </c:pt>
                <c:pt idx="2">
                  <c:v>Q4  2018</c:v>
                </c:pt>
              </c:strCache>
            </c:strRef>
          </c:cat>
          <c:val>
            <c:numRef>
              <c:f>Mobile!$B$74:$D$74</c:f>
              <c:numCache>
                <c:formatCode>0.00</c:formatCode>
                <c:ptCount val="3"/>
                <c:pt idx="0">
                  <c:v>567.19681417951176</c:v>
                </c:pt>
                <c:pt idx="1">
                  <c:v>450.49952523672101</c:v>
                </c:pt>
                <c:pt idx="2">
                  <c:v>568.35699599163718</c:v>
                </c:pt>
              </c:numCache>
            </c:numRef>
          </c:val>
          <c:extLst>
            <c:ext xmlns:c16="http://schemas.microsoft.com/office/drawing/2014/chart" uri="{C3380CC4-5D6E-409C-BE32-E72D297353CC}">
              <c16:uniqueId val="{00000002-A872-4BA4-A42D-68BFF1205B65}"/>
            </c:ext>
          </c:extLst>
        </c:ser>
        <c:ser>
          <c:idx val="3"/>
          <c:order val="3"/>
          <c:tx>
            <c:strRef>
              <c:f>Mobile!$A$75</c:f>
              <c:strCache>
                <c:ptCount val="1"/>
                <c:pt idx="0">
                  <c:v>Int'l Calls - Outgoing</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Mobile!$B$71:$D$71</c:f>
              <c:strCache>
                <c:ptCount val="3"/>
                <c:pt idx="0">
                  <c:v>Q4 2017</c:v>
                </c:pt>
                <c:pt idx="1">
                  <c:v>Q3 2018</c:v>
                </c:pt>
                <c:pt idx="2">
                  <c:v>Q4  2018</c:v>
                </c:pt>
              </c:strCache>
            </c:strRef>
          </c:cat>
          <c:val>
            <c:numRef>
              <c:f>Mobile!$B$75:$D$75</c:f>
              <c:numCache>
                <c:formatCode>0.00</c:formatCode>
                <c:ptCount val="3"/>
                <c:pt idx="0">
                  <c:v>160.86405065698935</c:v>
                </c:pt>
                <c:pt idx="1">
                  <c:v>168.36560853623763</c:v>
                </c:pt>
                <c:pt idx="2">
                  <c:v>223.5392101313536</c:v>
                </c:pt>
              </c:numCache>
            </c:numRef>
          </c:val>
          <c:extLst>
            <c:ext xmlns:c16="http://schemas.microsoft.com/office/drawing/2014/chart" uri="{C3380CC4-5D6E-409C-BE32-E72D297353CC}">
              <c16:uniqueId val="{00000003-A872-4BA4-A42D-68BFF1205B65}"/>
            </c:ext>
          </c:extLst>
        </c:ser>
        <c:ser>
          <c:idx val="4"/>
          <c:order val="4"/>
          <c:tx>
            <c:strRef>
              <c:f>Mobile!$A$76</c:f>
              <c:strCache>
                <c:ptCount val="1"/>
                <c:pt idx="0">
                  <c:v>Int'l Calls - Incoming</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Mobile!$B$71:$D$71</c:f>
              <c:strCache>
                <c:ptCount val="3"/>
                <c:pt idx="0">
                  <c:v>Q4 2017</c:v>
                </c:pt>
                <c:pt idx="1">
                  <c:v>Q3 2018</c:v>
                </c:pt>
                <c:pt idx="2">
                  <c:v>Q4  2018</c:v>
                </c:pt>
              </c:strCache>
            </c:strRef>
          </c:cat>
          <c:val>
            <c:numRef>
              <c:f>Mobile!$B$76:$D$76</c:f>
              <c:numCache>
                <c:formatCode>0.00</c:formatCode>
                <c:ptCount val="3"/>
                <c:pt idx="0">
                  <c:v>767.9757980604702</c:v>
                </c:pt>
                <c:pt idx="1">
                  <c:v>512.41558770605684</c:v>
                </c:pt>
                <c:pt idx="2">
                  <c:v>464.53762810730825</c:v>
                </c:pt>
              </c:numCache>
            </c:numRef>
          </c:val>
          <c:extLst>
            <c:ext xmlns:c16="http://schemas.microsoft.com/office/drawing/2014/chart" uri="{C3380CC4-5D6E-409C-BE32-E72D297353CC}">
              <c16:uniqueId val="{00000004-A872-4BA4-A42D-68BFF1205B65}"/>
            </c:ext>
          </c:extLst>
        </c:ser>
        <c:ser>
          <c:idx val="5"/>
          <c:order val="5"/>
          <c:tx>
            <c:strRef>
              <c:f>Mobile!$A$77</c:f>
              <c:strCache>
                <c:ptCount val="1"/>
                <c:pt idx="0">
                  <c:v>SMS and other Mobile Data Traffic</c:v>
                </c:pt>
              </c:strCache>
            </c:strRef>
          </c:tx>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invertIfNegative val="0"/>
          <c:cat>
            <c:strRef>
              <c:f>Mobile!$B$71:$D$71</c:f>
              <c:strCache>
                <c:ptCount val="3"/>
                <c:pt idx="0">
                  <c:v>Q4 2017</c:v>
                </c:pt>
                <c:pt idx="1">
                  <c:v>Q3 2018</c:v>
                </c:pt>
                <c:pt idx="2">
                  <c:v>Q4  2018</c:v>
                </c:pt>
              </c:strCache>
            </c:strRef>
          </c:cat>
          <c:val>
            <c:numRef>
              <c:f>Mobile!$B$77:$D$77</c:f>
              <c:numCache>
                <c:formatCode>0.00</c:formatCode>
                <c:ptCount val="3"/>
                <c:pt idx="0">
                  <c:v>108.77319264678735</c:v>
                </c:pt>
                <c:pt idx="1">
                  <c:v>84.956362436455223</c:v>
                </c:pt>
                <c:pt idx="2">
                  <c:v>82.836011070451192</c:v>
                </c:pt>
              </c:numCache>
            </c:numRef>
          </c:val>
          <c:extLst>
            <c:ext xmlns:c16="http://schemas.microsoft.com/office/drawing/2014/chart" uri="{C3380CC4-5D6E-409C-BE32-E72D297353CC}">
              <c16:uniqueId val="{00000005-A872-4BA4-A42D-68BFF1205B65}"/>
            </c:ext>
          </c:extLst>
        </c:ser>
        <c:dLbls>
          <c:showLegendKey val="0"/>
          <c:showVal val="0"/>
          <c:showCatName val="0"/>
          <c:showSerName val="0"/>
          <c:showPercent val="0"/>
          <c:showBubbleSize val="0"/>
        </c:dLbls>
        <c:gapWidth val="150"/>
        <c:shape val="box"/>
        <c:axId val="-1074363488"/>
        <c:axId val="-1074354784"/>
        <c:axId val="0"/>
      </c:bar3DChart>
      <c:catAx>
        <c:axId val="-1074363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74354784"/>
        <c:crosses val="autoZero"/>
        <c:auto val="1"/>
        <c:lblAlgn val="ctr"/>
        <c:lblOffset val="100"/>
        <c:noMultiLvlLbl val="0"/>
      </c:catAx>
      <c:valAx>
        <c:axId val="-107435478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7436348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Internet Services Subscriptions ('000)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Internet!$B$5</c:f>
              <c:strCache>
                <c:ptCount val="1"/>
                <c:pt idx="0">
                  <c:v>Total Subscriptions</c:v>
                </c:pt>
              </c:strCache>
            </c:strRef>
          </c:tx>
          <c:spPr>
            <a:ln w="31750" cap="rnd">
              <a:solidFill>
                <a:schemeClr val="accent1"/>
              </a:solidFill>
              <a:round/>
            </a:ln>
            <a:effectLst/>
          </c:spPr>
          <c:marker>
            <c:symbol val="circle"/>
            <c:size val="17"/>
            <c:spPr>
              <a:solidFill>
                <a:schemeClr val="accent1"/>
              </a:solidFill>
              <a:ln>
                <a:noFill/>
              </a:ln>
              <a:effectLst/>
            </c:spPr>
          </c:marker>
          <c:cat>
            <c:strRef>
              <c:f>Internet!$C$4:$E$4</c:f>
              <c:strCache>
                <c:ptCount val="3"/>
                <c:pt idx="0">
                  <c:v>Q4 2017</c:v>
                </c:pt>
                <c:pt idx="1">
                  <c:v>Q3 2018</c:v>
                </c:pt>
                <c:pt idx="2">
                  <c:v>Q4  2018</c:v>
                </c:pt>
              </c:strCache>
            </c:strRef>
          </c:cat>
          <c:val>
            <c:numRef>
              <c:f>Internet!$C$5:$E$5</c:f>
              <c:numCache>
                <c:formatCode>_-* #,##0.00_-;\-* #,##0.00_-;_-* "-"??_-;_-@_-</c:formatCode>
                <c:ptCount val="3"/>
                <c:pt idx="0">
                  <c:v>1613.1270000000002</c:v>
                </c:pt>
                <c:pt idx="1">
                  <c:v>1921.5970000000002</c:v>
                </c:pt>
                <c:pt idx="2">
                  <c:v>1787.069</c:v>
                </c:pt>
              </c:numCache>
            </c:numRef>
          </c:val>
          <c:smooth val="0"/>
          <c:extLst>
            <c:ext xmlns:c16="http://schemas.microsoft.com/office/drawing/2014/chart" uri="{C3380CC4-5D6E-409C-BE32-E72D297353CC}">
              <c16:uniqueId val="{00000000-71A2-4C99-9110-D94BDC1D2180}"/>
            </c:ext>
          </c:extLst>
        </c:ser>
        <c:ser>
          <c:idx val="1"/>
          <c:order val="1"/>
          <c:tx>
            <c:strRef>
              <c:f>Internet!$B$6</c:f>
              <c:strCache>
                <c:ptCount val="1"/>
                <c:pt idx="0">
                  <c:v>Fixed Broadband (≥ 256k)</c:v>
                </c:pt>
              </c:strCache>
            </c:strRef>
          </c:tx>
          <c:spPr>
            <a:ln w="31750" cap="rnd">
              <a:solidFill>
                <a:schemeClr val="accent2"/>
              </a:solidFill>
              <a:round/>
            </a:ln>
            <a:effectLst/>
          </c:spPr>
          <c:marker>
            <c:symbol val="circle"/>
            <c:size val="17"/>
            <c:spPr>
              <a:solidFill>
                <a:schemeClr val="accent2"/>
              </a:solidFill>
              <a:ln>
                <a:noFill/>
              </a:ln>
              <a:effectLst/>
            </c:spPr>
          </c:marker>
          <c:cat>
            <c:strRef>
              <c:f>Internet!$C$4:$E$4</c:f>
              <c:strCache>
                <c:ptCount val="3"/>
                <c:pt idx="0">
                  <c:v>Q4 2017</c:v>
                </c:pt>
                <c:pt idx="1">
                  <c:v>Q3 2018</c:v>
                </c:pt>
                <c:pt idx="2">
                  <c:v>Q4  2018</c:v>
                </c:pt>
              </c:strCache>
            </c:strRef>
          </c:cat>
          <c:val>
            <c:numRef>
              <c:f>Internet!$C$6:$E$6</c:f>
              <c:numCache>
                <c:formatCode>_-* #,##0.00_-;\-* #,##0.00_-;_-* "-"??_-;_-@_-</c:formatCode>
                <c:ptCount val="3"/>
                <c:pt idx="0">
                  <c:v>200.91</c:v>
                </c:pt>
                <c:pt idx="1">
                  <c:v>279.28300000000002</c:v>
                </c:pt>
                <c:pt idx="2">
                  <c:v>284.75599999999997</c:v>
                </c:pt>
              </c:numCache>
            </c:numRef>
          </c:val>
          <c:smooth val="0"/>
          <c:extLst>
            <c:ext xmlns:c16="http://schemas.microsoft.com/office/drawing/2014/chart" uri="{C3380CC4-5D6E-409C-BE32-E72D297353CC}">
              <c16:uniqueId val="{00000001-71A2-4C99-9110-D94BDC1D2180}"/>
            </c:ext>
          </c:extLst>
        </c:ser>
        <c:ser>
          <c:idx val="2"/>
          <c:order val="2"/>
          <c:tx>
            <c:strRef>
              <c:f>Internet!$B$7</c:f>
              <c:strCache>
                <c:ptCount val="1"/>
                <c:pt idx="0">
                  <c:v>WAP &amp; Mobile Internet</c:v>
                </c:pt>
              </c:strCache>
            </c:strRef>
          </c:tx>
          <c:spPr>
            <a:ln w="31750" cap="rnd">
              <a:solidFill>
                <a:schemeClr val="accent4"/>
              </a:solidFill>
              <a:round/>
            </a:ln>
            <a:effectLst/>
          </c:spPr>
          <c:marker>
            <c:symbol val="circle"/>
            <c:size val="17"/>
            <c:spPr>
              <a:solidFill>
                <a:schemeClr val="accent4"/>
              </a:solidFill>
              <a:ln>
                <a:noFill/>
              </a:ln>
              <a:effectLst/>
            </c:spPr>
          </c:marker>
          <c:cat>
            <c:strRef>
              <c:f>Internet!$C$4:$E$4</c:f>
              <c:strCache>
                <c:ptCount val="3"/>
                <c:pt idx="0">
                  <c:v>Q4 2017</c:v>
                </c:pt>
                <c:pt idx="1">
                  <c:v>Q3 2018</c:v>
                </c:pt>
                <c:pt idx="2">
                  <c:v>Q4  2018</c:v>
                </c:pt>
              </c:strCache>
            </c:strRef>
          </c:cat>
          <c:val>
            <c:numRef>
              <c:f>Internet!$C$7:$E$7</c:f>
              <c:numCache>
                <c:formatCode>_-* #,##0.00_-;\-* #,##0.00_-;_-* "-"??_-;_-@_-</c:formatCode>
                <c:ptCount val="3"/>
                <c:pt idx="0">
                  <c:v>1412.2170000000001</c:v>
                </c:pt>
                <c:pt idx="1">
                  <c:v>1642.3140000000001</c:v>
                </c:pt>
                <c:pt idx="2">
                  <c:v>1502.3130000000001</c:v>
                </c:pt>
              </c:numCache>
            </c:numRef>
          </c:val>
          <c:smooth val="0"/>
          <c:extLst>
            <c:ext xmlns:c16="http://schemas.microsoft.com/office/drawing/2014/chart" uri="{C3380CC4-5D6E-409C-BE32-E72D297353CC}">
              <c16:uniqueId val="{00000002-71A2-4C99-9110-D94BDC1D2180}"/>
            </c:ext>
          </c:extLst>
        </c:ser>
        <c:dLbls>
          <c:showLegendKey val="0"/>
          <c:showVal val="0"/>
          <c:showCatName val="0"/>
          <c:showSerName val="0"/>
          <c:showPercent val="0"/>
          <c:showBubbleSize val="0"/>
        </c:dLbls>
        <c:marker val="1"/>
        <c:smooth val="0"/>
        <c:axId val="553716319"/>
        <c:axId val="553711327"/>
      </c:lineChart>
      <c:catAx>
        <c:axId val="55371631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3711327"/>
        <c:crosses val="autoZero"/>
        <c:auto val="1"/>
        <c:lblAlgn val="ctr"/>
        <c:lblOffset val="100"/>
        <c:noMultiLvlLbl val="0"/>
      </c:catAx>
      <c:valAx>
        <c:axId val="553711327"/>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Subscriptions ('000)</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title>
        <c:numFmt formatCode="_-* #,##0.00_-;\-* #,##0.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53716319"/>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0BB03-91E2-407C-9FDE-EF36DAC7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Minott</dc:creator>
  <cp:keywords/>
  <dc:description/>
  <cp:lastModifiedBy>Marsha Minott</cp:lastModifiedBy>
  <cp:revision>8</cp:revision>
  <cp:lastPrinted>2018-12-14T18:22:00Z</cp:lastPrinted>
  <dcterms:created xsi:type="dcterms:W3CDTF">2019-05-03T18:04:00Z</dcterms:created>
  <dcterms:modified xsi:type="dcterms:W3CDTF">2019-05-06T17:03:00Z</dcterms:modified>
</cp:coreProperties>
</file>